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71A" w:rsidRPr="00E768AD" w:rsidRDefault="00E3571A" w:rsidP="00E768AD">
      <w:pPr>
        <w:spacing w:line="276" w:lineRule="auto"/>
        <w:jc w:val="both"/>
        <w:rPr>
          <w:rFonts w:cs="Times New Roman"/>
          <w:szCs w:val="24"/>
        </w:rPr>
      </w:pPr>
    </w:p>
    <w:p w:rsidR="00E3571A" w:rsidRPr="00E768AD" w:rsidRDefault="00E3571A" w:rsidP="00E768AD">
      <w:pPr>
        <w:spacing w:line="276" w:lineRule="auto"/>
        <w:jc w:val="both"/>
        <w:rPr>
          <w:rFonts w:cs="Times New Roman"/>
          <w:szCs w:val="24"/>
        </w:rPr>
      </w:pPr>
    </w:p>
    <w:p w:rsidR="00E3571A" w:rsidRPr="00E768AD" w:rsidRDefault="00E3571A" w:rsidP="00E768AD">
      <w:pPr>
        <w:spacing w:line="276" w:lineRule="auto"/>
        <w:jc w:val="both"/>
        <w:rPr>
          <w:rFonts w:cs="Times New Roman"/>
          <w:szCs w:val="24"/>
        </w:rPr>
      </w:pPr>
    </w:p>
    <w:p w:rsidR="00E3571A" w:rsidRPr="00E768AD" w:rsidRDefault="00E3571A" w:rsidP="00E768AD">
      <w:pPr>
        <w:spacing w:line="276" w:lineRule="auto"/>
        <w:jc w:val="both"/>
        <w:rPr>
          <w:rFonts w:cs="Times New Roman"/>
          <w:szCs w:val="24"/>
        </w:rPr>
      </w:pPr>
    </w:p>
    <w:p w:rsidR="00E3571A" w:rsidRPr="00E768AD" w:rsidRDefault="00E3571A" w:rsidP="00E768AD">
      <w:pPr>
        <w:spacing w:line="276" w:lineRule="auto"/>
        <w:jc w:val="both"/>
        <w:rPr>
          <w:rFonts w:cs="Times New Roman"/>
          <w:szCs w:val="24"/>
        </w:rPr>
      </w:pPr>
    </w:p>
    <w:p w:rsidR="00E3571A" w:rsidRPr="00E768AD" w:rsidRDefault="00E3571A" w:rsidP="00E768AD">
      <w:pPr>
        <w:spacing w:line="276" w:lineRule="auto"/>
        <w:jc w:val="both"/>
        <w:rPr>
          <w:rFonts w:cs="Times New Roman"/>
          <w:szCs w:val="24"/>
        </w:rPr>
      </w:pPr>
    </w:p>
    <w:p w:rsidR="00E3571A" w:rsidRPr="00E768AD" w:rsidRDefault="00E3571A" w:rsidP="00E768AD">
      <w:pPr>
        <w:spacing w:line="276" w:lineRule="auto"/>
        <w:jc w:val="both"/>
        <w:rPr>
          <w:rFonts w:cs="Times New Roman"/>
          <w:szCs w:val="24"/>
        </w:rPr>
      </w:pPr>
    </w:p>
    <w:p w:rsidR="00E3571A" w:rsidRPr="00E768AD" w:rsidRDefault="00E3571A" w:rsidP="00E768AD">
      <w:pPr>
        <w:spacing w:line="276" w:lineRule="auto"/>
        <w:jc w:val="both"/>
        <w:rPr>
          <w:rFonts w:cs="Times New Roman"/>
          <w:szCs w:val="24"/>
        </w:rPr>
      </w:pPr>
    </w:p>
    <w:p w:rsidR="00E3571A" w:rsidRPr="00E768AD" w:rsidRDefault="00E3571A" w:rsidP="00E768AD">
      <w:pPr>
        <w:spacing w:line="276" w:lineRule="auto"/>
        <w:jc w:val="both"/>
        <w:rPr>
          <w:rFonts w:cs="Times New Roman"/>
          <w:szCs w:val="24"/>
        </w:rPr>
      </w:pPr>
    </w:p>
    <w:p w:rsidR="00E3571A" w:rsidRPr="00E768AD" w:rsidRDefault="00E3571A" w:rsidP="00E768AD">
      <w:pPr>
        <w:spacing w:line="276" w:lineRule="auto"/>
        <w:jc w:val="both"/>
        <w:rPr>
          <w:rFonts w:cs="Times New Roman"/>
          <w:szCs w:val="24"/>
        </w:rPr>
      </w:pPr>
    </w:p>
    <w:p w:rsidR="00074DBC" w:rsidRDefault="001C4C22" w:rsidP="00E768AD">
      <w:pPr>
        <w:spacing w:line="276" w:lineRule="auto"/>
        <w:jc w:val="both"/>
        <w:rPr>
          <w:rFonts w:cs="Times New Roman"/>
          <w:szCs w:val="24"/>
        </w:rPr>
      </w:pPr>
      <w:r>
        <w:rPr>
          <w:rFonts w:cs="Times New Roman"/>
          <w:szCs w:val="24"/>
        </w:rPr>
        <w:t xml:space="preserve">ERITYISTÄ </w:t>
      </w:r>
      <w:r w:rsidR="00074DBC">
        <w:rPr>
          <w:rFonts w:cs="Times New Roman"/>
          <w:szCs w:val="24"/>
        </w:rPr>
        <w:t xml:space="preserve">TUKEA TARVITSEVAT </w:t>
      </w:r>
      <w:r>
        <w:rPr>
          <w:rFonts w:cs="Times New Roman"/>
          <w:szCs w:val="24"/>
        </w:rPr>
        <w:t xml:space="preserve">JA </w:t>
      </w:r>
      <w:r w:rsidR="00074DBC">
        <w:rPr>
          <w:rFonts w:cs="Times New Roman"/>
          <w:szCs w:val="24"/>
        </w:rPr>
        <w:t xml:space="preserve">OSATYÖKYKYISET </w:t>
      </w:r>
      <w:r>
        <w:rPr>
          <w:rFonts w:cs="Times New Roman"/>
          <w:szCs w:val="24"/>
        </w:rPr>
        <w:t xml:space="preserve">NUORET </w:t>
      </w:r>
      <w:r w:rsidR="00074DBC">
        <w:rPr>
          <w:rFonts w:cs="Times New Roman"/>
          <w:szCs w:val="24"/>
        </w:rPr>
        <w:t>SIIRTYMÄVAIHEESSA PERUSKOULUN JÄLKEEN – tutkimus, tilastot ja lainsäädäntö</w:t>
      </w:r>
    </w:p>
    <w:p w:rsidR="00074DBC" w:rsidRDefault="00074DBC" w:rsidP="00E768AD">
      <w:pPr>
        <w:spacing w:line="276" w:lineRule="auto"/>
        <w:jc w:val="both"/>
        <w:rPr>
          <w:rFonts w:cs="Times New Roman"/>
          <w:szCs w:val="24"/>
        </w:rPr>
      </w:pPr>
    </w:p>
    <w:p w:rsidR="00E3571A" w:rsidRPr="00E768AD" w:rsidRDefault="00074DBC" w:rsidP="00E768AD">
      <w:pPr>
        <w:spacing w:line="276" w:lineRule="auto"/>
        <w:jc w:val="both"/>
        <w:rPr>
          <w:rFonts w:cs="Times New Roman"/>
          <w:szCs w:val="24"/>
        </w:rPr>
      </w:pPr>
      <w:r w:rsidRPr="00074DBC">
        <w:rPr>
          <w:rFonts w:cs="Times New Roman"/>
          <w:szCs w:val="24"/>
        </w:rPr>
        <w:t>Antti Teittinen</w:t>
      </w:r>
      <w:r>
        <w:rPr>
          <w:rFonts w:cs="Times New Roman"/>
          <w:szCs w:val="24"/>
        </w:rPr>
        <w:t xml:space="preserve"> &amp; Pekka Koskinen </w:t>
      </w:r>
    </w:p>
    <w:p w:rsidR="00E3571A" w:rsidRPr="00E768AD" w:rsidRDefault="00E3571A" w:rsidP="00E768AD">
      <w:pPr>
        <w:spacing w:line="276" w:lineRule="auto"/>
        <w:jc w:val="both"/>
        <w:rPr>
          <w:rFonts w:cs="Times New Roman"/>
          <w:szCs w:val="24"/>
        </w:rPr>
      </w:pPr>
      <w:r w:rsidRPr="00E768AD">
        <w:rPr>
          <w:rFonts w:cs="Times New Roman"/>
          <w:szCs w:val="24"/>
        </w:rPr>
        <w:br w:type="page"/>
      </w:r>
    </w:p>
    <w:p w:rsidR="00AB293C" w:rsidRPr="00E768AD" w:rsidRDefault="00AB293C" w:rsidP="00E768AD">
      <w:pPr>
        <w:spacing w:line="276" w:lineRule="auto"/>
        <w:jc w:val="both"/>
        <w:rPr>
          <w:rFonts w:cs="Times New Roman"/>
          <w:szCs w:val="24"/>
        </w:rPr>
      </w:pPr>
    </w:p>
    <w:p w:rsidR="00AB293C" w:rsidRPr="00E768AD" w:rsidRDefault="00630BD3" w:rsidP="00E768AD">
      <w:pPr>
        <w:spacing w:line="276" w:lineRule="auto"/>
        <w:jc w:val="both"/>
        <w:rPr>
          <w:rFonts w:cs="Times New Roman"/>
          <w:b/>
          <w:szCs w:val="24"/>
        </w:rPr>
      </w:pPr>
      <w:r w:rsidRPr="00E768AD">
        <w:rPr>
          <w:rFonts w:cs="Times New Roman"/>
          <w:b/>
          <w:szCs w:val="24"/>
        </w:rPr>
        <w:t>Johdanto</w:t>
      </w:r>
    </w:p>
    <w:p w:rsidR="006433A6" w:rsidRPr="00E768AD" w:rsidRDefault="006433A6" w:rsidP="00E768AD">
      <w:pPr>
        <w:spacing w:line="276" w:lineRule="auto"/>
        <w:jc w:val="both"/>
        <w:rPr>
          <w:rFonts w:cs="Times New Roman"/>
          <w:szCs w:val="24"/>
        </w:rPr>
      </w:pPr>
    </w:p>
    <w:p w:rsidR="006433A6" w:rsidRPr="00E768AD" w:rsidRDefault="006433A6" w:rsidP="00E768AD">
      <w:pPr>
        <w:autoSpaceDE w:val="0"/>
        <w:autoSpaceDN w:val="0"/>
        <w:adjustRightInd w:val="0"/>
        <w:spacing w:after="0" w:line="276" w:lineRule="auto"/>
        <w:jc w:val="both"/>
        <w:rPr>
          <w:rFonts w:cs="Times New Roman"/>
          <w:szCs w:val="24"/>
        </w:rPr>
      </w:pPr>
      <w:r w:rsidRPr="00E768AD">
        <w:rPr>
          <w:rFonts w:cs="Times New Roman"/>
          <w:szCs w:val="24"/>
        </w:rPr>
        <w:t>Heikossa työmarkkina-asemassa olevilla osatyökykyisillä ja erityistä tukea tarvitsevilla henkilöillä on usein vaikeuksia saada yksilön tarpeita ja toiveita vastaavaa tukea selviytyäkseen koulutuksen ja työelämän vaatimuksista. Heikon koulutustaustan omaavien ja erityistä tukea tarvitsevien henkilöiden koulutukseen osallistumista, opinnoista suoriutumista ja työllistymistä vaikeuttavat heikot opiskelu- ja työelämätaidot sekä</w:t>
      </w:r>
    </w:p>
    <w:p w:rsidR="006433A6" w:rsidRPr="00E768AD" w:rsidRDefault="006433A6" w:rsidP="00E768AD">
      <w:pPr>
        <w:autoSpaceDE w:val="0"/>
        <w:autoSpaceDN w:val="0"/>
        <w:adjustRightInd w:val="0"/>
        <w:spacing w:after="0" w:line="276" w:lineRule="auto"/>
        <w:jc w:val="both"/>
        <w:rPr>
          <w:rFonts w:cs="Times New Roman"/>
          <w:szCs w:val="24"/>
        </w:rPr>
      </w:pPr>
      <w:r w:rsidRPr="00E768AD">
        <w:rPr>
          <w:rFonts w:cs="Times New Roman"/>
          <w:szCs w:val="24"/>
        </w:rPr>
        <w:t>puutteelliset toiminnanohjauksen taidot.</w:t>
      </w:r>
    </w:p>
    <w:p w:rsidR="006433A6" w:rsidRPr="00E768AD" w:rsidRDefault="006433A6" w:rsidP="00E768AD">
      <w:pPr>
        <w:autoSpaceDE w:val="0"/>
        <w:autoSpaceDN w:val="0"/>
        <w:adjustRightInd w:val="0"/>
        <w:spacing w:after="0" w:line="276" w:lineRule="auto"/>
        <w:jc w:val="both"/>
        <w:rPr>
          <w:rFonts w:cs="Times New Roman"/>
          <w:szCs w:val="24"/>
        </w:rPr>
      </w:pPr>
    </w:p>
    <w:p w:rsidR="006433A6" w:rsidRPr="00E768AD" w:rsidRDefault="00663E52" w:rsidP="00E768AD">
      <w:pPr>
        <w:autoSpaceDE w:val="0"/>
        <w:autoSpaceDN w:val="0"/>
        <w:adjustRightInd w:val="0"/>
        <w:spacing w:after="0" w:line="276" w:lineRule="auto"/>
        <w:jc w:val="both"/>
        <w:rPr>
          <w:rFonts w:cs="Times New Roman"/>
          <w:szCs w:val="24"/>
        </w:rPr>
      </w:pPr>
      <w:r>
        <w:rPr>
          <w:rFonts w:cs="Times New Roman"/>
          <w:szCs w:val="24"/>
        </w:rPr>
        <w:t>Opitaan työ yhdessä (</w:t>
      </w:r>
      <w:r w:rsidR="006433A6" w:rsidRPr="00E768AD">
        <w:rPr>
          <w:rFonts w:cs="Times New Roman"/>
          <w:szCs w:val="24"/>
        </w:rPr>
        <w:t>OPTY</w:t>
      </w:r>
      <w:r>
        <w:rPr>
          <w:rFonts w:cs="Times New Roman"/>
          <w:szCs w:val="24"/>
        </w:rPr>
        <w:t xml:space="preserve">) </w:t>
      </w:r>
      <w:r w:rsidR="006433A6" w:rsidRPr="00E768AD">
        <w:rPr>
          <w:rFonts w:cs="Times New Roman"/>
          <w:szCs w:val="24"/>
        </w:rPr>
        <w:t>-hankkeen tavoitteena on kehittää toimijoiden välistä yhteistyömallia niin, että olemassa olevia toteuttajien palveluita on yhdistetty ja muotoiltu joustavimmiksi ja asiakaslähtöisemmiksi palveluiksi, jonka tarkoituksena on tukea osatyökykyisen henkilön työllistymistä ja parantaa heidän mahdollisuuksien suorittaa opintoja. Tavoitteena on myös kehittää työhönvalmennusmalli yhteistyössä opetus- ja ohjaushenkilöstön, työvalmentajien ja työpaikkaohjaajien kanssa, huomioiden aiempaa paremmin itse valmentautujat. Henkilöstön valmentavan työotteen osaamista pyritään vahvistamaan myös hankkeen aikana.</w:t>
      </w:r>
    </w:p>
    <w:p w:rsidR="006433A6" w:rsidRPr="00E768AD" w:rsidRDefault="006433A6" w:rsidP="00E768AD">
      <w:pPr>
        <w:autoSpaceDE w:val="0"/>
        <w:autoSpaceDN w:val="0"/>
        <w:adjustRightInd w:val="0"/>
        <w:spacing w:after="0" w:line="276" w:lineRule="auto"/>
        <w:jc w:val="both"/>
        <w:rPr>
          <w:rFonts w:cs="Times New Roman"/>
          <w:szCs w:val="24"/>
        </w:rPr>
      </w:pPr>
    </w:p>
    <w:p w:rsidR="00E3571A" w:rsidRPr="00E768AD" w:rsidRDefault="006433A6" w:rsidP="00E768AD">
      <w:pPr>
        <w:autoSpaceDE w:val="0"/>
        <w:autoSpaceDN w:val="0"/>
        <w:adjustRightInd w:val="0"/>
        <w:spacing w:after="0" w:line="276" w:lineRule="auto"/>
        <w:jc w:val="both"/>
        <w:rPr>
          <w:rFonts w:cs="Times New Roman"/>
          <w:szCs w:val="24"/>
        </w:rPr>
      </w:pPr>
      <w:r w:rsidRPr="00E768AD">
        <w:rPr>
          <w:rFonts w:cs="Times New Roman"/>
          <w:szCs w:val="24"/>
        </w:rPr>
        <w:t>Tässä raportissa keskitytään</w:t>
      </w:r>
      <w:r w:rsidR="00A47369" w:rsidRPr="00E768AD">
        <w:rPr>
          <w:rFonts w:cs="Times New Roman"/>
          <w:szCs w:val="24"/>
        </w:rPr>
        <w:t xml:space="preserve"> </w:t>
      </w:r>
      <w:r w:rsidRPr="00E768AD">
        <w:rPr>
          <w:rFonts w:cs="Times New Roman"/>
          <w:szCs w:val="24"/>
        </w:rPr>
        <w:t>hankkeeseen kytkeytyvien taustatekijöiden koontiin</w:t>
      </w:r>
      <w:r w:rsidR="00A47369" w:rsidRPr="00E768AD">
        <w:rPr>
          <w:rFonts w:cs="Times New Roman"/>
          <w:szCs w:val="24"/>
        </w:rPr>
        <w:t xml:space="preserve"> ja arviointiin</w:t>
      </w:r>
      <w:r w:rsidRPr="00E768AD">
        <w:rPr>
          <w:rFonts w:cs="Times New Roman"/>
          <w:szCs w:val="24"/>
        </w:rPr>
        <w:t xml:space="preserve">. Aihepiirin </w:t>
      </w:r>
      <w:r w:rsidR="00A47369" w:rsidRPr="00E768AD">
        <w:rPr>
          <w:rFonts w:cs="Times New Roman"/>
          <w:szCs w:val="24"/>
        </w:rPr>
        <w:t>kartoituksessa</w:t>
      </w:r>
      <w:r w:rsidRPr="00E768AD">
        <w:rPr>
          <w:rFonts w:cs="Times New Roman"/>
          <w:szCs w:val="24"/>
        </w:rPr>
        <w:t xml:space="preserve"> on käytetty niin sanottua desk study</w:t>
      </w:r>
      <w:r w:rsidR="00663E52">
        <w:rPr>
          <w:rFonts w:cs="Times New Roman"/>
          <w:szCs w:val="24"/>
        </w:rPr>
        <w:t xml:space="preserve"> </w:t>
      </w:r>
      <w:r w:rsidRPr="00E768AD">
        <w:rPr>
          <w:rFonts w:cs="Times New Roman"/>
          <w:szCs w:val="24"/>
        </w:rPr>
        <w:t>-menetelmää, jossa</w:t>
      </w:r>
      <w:r w:rsidR="00A47369" w:rsidRPr="00E768AD">
        <w:rPr>
          <w:rFonts w:cs="Times New Roman"/>
          <w:szCs w:val="24"/>
        </w:rPr>
        <w:t xml:space="preserve"> kerätään ja analysoidaan jo olemassa olevia tietolähteitä. Niitä voivat olla aiheesta julkaistu tutkimuskirjallisuus, lainsäädäntö, saatavilla olevat selvitykset sekä mahdolliset ”hyvät käytännöt”.</w:t>
      </w:r>
      <w:r w:rsidR="001D3901" w:rsidRPr="00E768AD">
        <w:rPr>
          <w:rFonts w:cs="Times New Roman"/>
          <w:szCs w:val="24"/>
        </w:rPr>
        <w:t xml:space="preserve"> </w:t>
      </w:r>
    </w:p>
    <w:p w:rsidR="00AB293C" w:rsidRPr="00E768AD" w:rsidRDefault="00630BD3" w:rsidP="00E768AD">
      <w:pPr>
        <w:pStyle w:val="Otsikko2"/>
        <w:spacing w:line="276" w:lineRule="auto"/>
        <w:jc w:val="both"/>
        <w:rPr>
          <w:rFonts w:cs="Times New Roman"/>
          <w:sz w:val="24"/>
          <w:szCs w:val="24"/>
        </w:rPr>
      </w:pPr>
      <w:r w:rsidRPr="00E768AD">
        <w:rPr>
          <w:rFonts w:cs="Times New Roman"/>
          <w:sz w:val="24"/>
          <w:szCs w:val="24"/>
        </w:rPr>
        <w:t>Katsaus aihepiirin tutkimukseen</w:t>
      </w:r>
    </w:p>
    <w:p w:rsidR="003E0FDC" w:rsidRPr="00E768AD" w:rsidRDefault="003E0FDC" w:rsidP="00E768AD">
      <w:pPr>
        <w:spacing w:line="276" w:lineRule="auto"/>
        <w:jc w:val="both"/>
        <w:rPr>
          <w:rFonts w:cs="Times New Roman"/>
          <w:szCs w:val="24"/>
        </w:rPr>
      </w:pPr>
    </w:p>
    <w:p w:rsidR="007A1E7C" w:rsidRPr="00E768AD" w:rsidRDefault="007A1E7C" w:rsidP="00E768AD">
      <w:pPr>
        <w:spacing w:line="276" w:lineRule="auto"/>
        <w:jc w:val="both"/>
        <w:rPr>
          <w:rFonts w:cs="Times New Roman"/>
          <w:szCs w:val="24"/>
        </w:rPr>
      </w:pPr>
      <w:r w:rsidRPr="00E768AD">
        <w:rPr>
          <w:rFonts w:cs="Times New Roman"/>
          <w:szCs w:val="24"/>
        </w:rPr>
        <w:t>OPTY-hankkeen kannalta keskeisimmät tutkimustulokset liittyvät työhönvalmennukseen, opinnollistamiseen ja valmentavaan koulutukseen. Ne edustavat myös OPTY-hankkeen käytäntöjä ja käsitteellistä tasoa.</w:t>
      </w:r>
    </w:p>
    <w:p w:rsidR="003E0FDC" w:rsidRPr="00E768AD" w:rsidRDefault="00630BD3" w:rsidP="00E768AD">
      <w:pPr>
        <w:spacing w:line="276" w:lineRule="auto"/>
        <w:jc w:val="both"/>
        <w:rPr>
          <w:rFonts w:cs="Times New Roman"/>
          <w:szCs w:val="24"/>
          <w:u w:val="single"/>
        </w:rPr>
      </w:pPr>
      <w:r w:rsidRPr="00E768AD">
        <w:rPr>
          <w:rFonts w:cs="Times New Roman"/>
          <w:szCs w:val="24"/>
          <w:u w:val="single"/>
        </w:rPr>
        <w:t>Työhönvalmennus</w:t>
      </w:r>
      <w:r w:rsidR="003E0FDC" w:rsidRPr="00E768AD">
        <w:rPr>
          <w:rFonts w:cs="Times New Roman"/>
          <w:szCs w:val="24"/>
          <w:u w:val="single"/>
        </w:rPr>
        <w:t>:</w:t>
      </w:r>
    </w:p>
    <w:p w:rsidR="00D7640A" w:rsidRPr="00E768AD" w:rsidRDefault="00D709B8" w:rsidP="00E768AD">
      <w:pPr>
        <w:spacing w:line="276" w:lineRule="auto"/>
        <w:jc w:val="both"/>
        <w:rPr>
          <w:rFonts w:cs="Times New Roman"/>
          <w:szCs w:val="24"/>
        </w:rPr>
      </w:pPr>
      <w:r w:rsidRPr="00E768AD">
        <w:rPr>
          <w:rFonts w:cs="Times New Roman"/>
          <w:szCs w:val="24"/>
        </w:rPr>
        <w:t xml:space="preserve">Gary </w:t>
      </w:r>
      <w:r w:rsidR="00FA7F33" w:rsidRPr="00E768AD">
        <w:rPr>
          <w:rFonts w:cs="Times New Roman"/>
          <w:szCs w:val="24"/>
        </w:rPr>
        <w:t xml:space="preserve">Bond </w:t>
      </w:r>
      <w:r w:rsidR="00972380" w:rsidRPr="00E768AD">
        <w:rPr>
          <w:rFonts w:cs="Times New Roman"/>
          <w:szCs w:val="24"/>
        </w:rPr>
        <w:t>(</w:t>
      </w:r>
      <w:r w:rsidR="00FA7F33" w:rsidRPr="00E768AD">
        <w:rPr>
          <w:rFonts w:cs="Times New Roman"/>
          <w:szCs w:val="24"/>
        </w:rPr>
        <w:t>2004</w:t>
      </w:r>
      <w:r w:rsidR="00972380" w:rsidRPr="00E768AD">
        <w:rPr>
          <w:rFonts w:cs="Times New Roman"/>
          <w:szCs w:val="24"/>
        </w:rPr>
        <w:t>)</w:t>
      </w:r>
      <w:r w:rsidR="00FA7F33" w:rsidRPr="00E768AD">
        <w:rPr>
          <w:rFonts w:cs="Times New Roman"/>
          <w:szCs w:val="24"/>
        </w:rPr>
        <w:t xml:space="preserve"> tarkastelee </w:t>
      </w:r>
      <w:r w:rsidRPr="00E768AD">
        <w:rPr>
          <w:rFonts w:cs="Times New Roman"/>
          <w:szCs w:val="24"/>
        </w:rPr>
        <w:t>kirjallisuuskatsauksessa</w:t>
      </w:r>
      <w:r w:rsidR="00D7640A" w:rsidRPr="00E768AD">
        <w:rPr>
          <w:rFonts w:cs="Times New Roman"/>
          <w:szCs w:val="24"/>
        </w:rPr>
        <w:t xml:space="preserve"> </w:t>
      </w:r>
      <w:r w:rsidR="00FA7F33" w:rsidRPr="00E768AD">
        <w:rPr>
          <w:rFonts w:cs="Times New Roman"/>
          <w:szCs w:val="24"/>
        </w:rPr>
        <w:t>näyttöön perustuvan tuetun työllistymisen vaikuttavuutta mielenterveyskuntoutujien työllistymisessä. Näyttöön perustuva tuettu työllistyminen tarkoittaa käytännössä työhönvalmentajan tukea työllistymiseksi avoimille työmarkkinoille eli niin sanottua yksilöllistä työpaikan/tehtävän räätälöintiä ja tukea (</w:t>
      </w:r>
      <w:r w:rsidR="00FA7F33" w:rsidRPr="00E768AD">
        <w:rPr>
          <w:rFonts w:cs="Times New Roman"/>
          <w:i/>
          <w:szCs w:val="24"/>
        </w:rPr>
        <w:t>i</w:t>
      </w:r>
      <w:r w:rsidR="00C55965" w:rsidRPr="00E768AD">
        <w:rPr>
          <w:rFonts w:cs="Times New Roman"/>
          <w:i/>
          <w:szCs w:val="24"/>
        </w:rPr>
        <w:t xml:space="preserve">ndividual placement and support, </w:t>
      </w:r>
      <w:r w:rsidR="00FA7F33" w:rsidRPr="00E768AD">
        <w:rPr>
          <w:rFonts w:cs="Times New Roman"/>
          <w:i/>
          <w:szCs w:val="24"/>
        </w:rPr>
        <w:t>IPS</w:t>
      </w:r>
      <w:r w:rsidR="00FA7F33" w:rsidRPr="00E768AD">
        <w:rPr>
          <w:rFonts w:cs="Times New Roman"/>
          <w:szCs w:val="24"/>
        </w:rPr>
        <w:t>).</w:t>
      </w:r>
      <w:r w:rsidR="000D23B3" w:rsidRPr="00E768AD">
        <w:rPr>
          <w:rFonts w:cs="Times New Roman"/>
          <w:szCs w:val="24"/>
        </w:rPr>
        <w:t xml:space="preserve"> Tutkimukseen </w:t>
      </w:r>
      <w:r w:rsidR="000D23B3" w:rsidRPr="00E768AD">
        <w:rPr>
          <w:rFonts w:cs="Times New Roman"/>
          <w:szCs w:val="24"/>
        </w:rPr>
        <w:lastRenderedPageBreak/>
        <w:t>osallistuneet henkilöt olivat mielenterveyskuntoutujia.</w:t>
      </w:r>
      <w:r w:rsidR="00FA7F33" w:rsidRPr="00E768AD">
        <w:rPr>
          <w:rFonts w:cs="Times New Roman"/>
          <w:szCs w:val="24"/>
        </w:rPr>
        <w:t xml:space="preserve"> Tulosten </w:t>
      </w:r>
      <w:r w:rsidR="00D7640A" w:rsidRPr="00E768AD">
        <w:rPr>
          <w:rFonts w:cs="Times New Roman"/>
          <w:szCs w:val="24"/>
        </w:rPr>
        <w:t xml:space="preserve">perusteella tuettu työllistyminen ja työhönvalmennus auttavat kiinnittymään avoimille työmarkkinoille toisin kuin päivätyötoiminta. Lisäksi tuettu työllistyminen osoittautui parhaaksi ammatillisen kuntoutuksen muodoksi, kun </w:t>
      </w:r>
      <w:r w:rsidR="000D23B3" w:rsidRPr="00E768AD">
        <w:rPr>
          <w:rFonts w:cs="Times New Roman"/>
          <w:szCs w:val="24"/>
        </w:rPr>
        <w:t>tulosmuuttujana</w:t>
      </w:r>
      <w:r w:rsidR="00D7640A" w:rsidRPr="00E768AD">
        <w:rPr>
          <w:rFonts w:cs="Times New Roman"/>
          <w:szCs w:val="24"/>
        </w:rPr>
        <w:t xml:space="preserve"> oli työllistyminen avoimille työmarkkinoille.</w:t>
      </w:r>
      <w:r w:rsidR="000D23B3" w:rsidRPr="00E768AD">
        <w:rPr>
          <w:rFonts w:cs="Times New Roman"/>
          <w:szCs w:val="24"/>
        </w:rPr>
        <w:t xml:space="preserve"> </w:t>
      </w:r>
    </w:p>
    <w:p w:rsidR="00D7640A" w:rsidRPr="00E768AD" w:rsidRDefault="00D7640A" w:rsidP="00E768AD">
      <w:pPr>
        <w:spacing w:line="276" w:lineRule="auto"/>
        <w:jc w:val="both"/>
        <w:rPr>
          <w:rFonts w:cs="Times New Roman"/>
          <w:szCs w:val="24"/>
        </w:rPr>
      </w:pPr>
      <w:r w:rsidRPr="00E768AD">
        <w:rPr>
          <w:rFonts w:cs="Times New Roman"/>
          <w:szCs w:val="24"/>
        </w:rPr>
        <w:t xml:space="preserve">Bond ym. </w:t>
      </w:r>
      <w:r w:rsidR="00972380" w:rsidRPr="00E768AD">
        <w:rPr>
          <w:rFonts w:cs="Times New Roman"/>
          <w:szCs w:val="24"/>
        </w:rPr>
        <w:t>(</w:t>
      </w:r>
      <w:r w:rsidRPr="00E768AD">
        <w:rPr>
          <w:rFonts w:cs="Times New Roman"/>
          <w:szCs w:val="24"/>
        </w:rPr>
        <w:t>2008</w:t>
      </w:r>
      <w:r w:rsidR="00972380" w:rsidRPr="00E768AD">
        <w:rPr>
          <w:rFonts w:cs="Times New Roman"/>
          <w:szCs w:val="24"/>
        </w:rPr>
        <w:t>)</w:t>
      </w:r>
      <w:r w:rsidR="00D709B8" w:rsidRPr="00E768AD">
        <w:rPr>
          <w:rFonts w:cs="Times New Roman"/>
          <w:szCs w:val="24"/>
        </w:rPr>
        <w:t xml:space="preserve"> uudemmassa</w:t>
      </w:r>
      <w:r w:rsidRPr="00E768AD">
        <w:rPr>
          <w:rFonts w:cs="Times New Roman"/>
          <w:szCs w:val="24"/>
        </w:rPr>
        <w:t xml:space="preserve"> sama</w:t>
      </w:r>
      <w:r w:rsidR="00D709B8" w:rsidRPr="00E768AD">
        <w:rPr>
          <w:rFonts w:cs="Times New Roman"/>
          <w:szCs w:val="24"/>
        </w:rPr>
        <w:t>ntyyppiseen tutkimukseen on sisällytetty</w:t>
      </w:r>
      <w:r w:rsidR="000D78F8" w:rsidRPr="00E768AD">
        <w:rPr>
          <w:rFonts w:cs="Times New Roman"/>
          <w:szCs w:val="24"/>
        </w:rPr>
        <w:t xml:space="preserve"> </w:t>
      </w:r>
      <w:r w:rsidR="000D23B3" w:rsidRPr="00E768AD">
        <w:rPr>
          <w:rFonts w:cs="Times New Roman"/>
          <w:szCs w:val="24"/>
        </w:rPr>
        <w:t>uusimmat</w:t>
      </w:r>
      <w:r w:rsidR="000D78F8" w:rsidRPr="00E768AD">
        <w:rPr>
          <w:rFonts w:cs="Times New Roman"/>
          <w:szCs w:val="24"/>
        </w:rPr>
        <w:t xml:space="preserve"> tutkimushankkeet näyttöön perustuvasta </w:t>
      </w:r>
      <w:r w:rsidR="000D23B3" w:rsidRPr="00E768AD">
        <w:rPr>
          <w:rFonts w:cs="Times New Roman"/>
          <w:szCs w:val="24"/>
        </w:rPr>
        <w:t>tuetusta työllistymisestä</w:t>
      </w:r>
      <w:r w:rsidR="000D78F8" w:rsidRPr="00E768AD">
        <w:rPr>
          <w:rFonts w:cs="Times New Roman"/>
          <w:szCs w:val="24"/>
        </w:rPr>
        <w:t>.</w:t>
      </w:r>
      <w:r w:rsidRPr="00E768AD">
        <w:rPr>
          <w:rFonts w:cs="Times New Roman"/>
          <w:szCs w:val="24"/>
        </w:rPr>
        <w:t xml:space="preserve"> Tutkimus</w:t>
      </w:r>
      <w:r w:rsidR="000D78F8" w:rsidRPr="00E768AD">
        <w:rPr>
          <w:rFonts w:cs="Times New Roman"/>
          <w:szCs w:val="24"/>
        </w:rPr>
        <w:t xml:space="preserve"> on</w:t>
      </w:r>
      <w:r w:rsidRPr="00E768AD">
        <w:rPr>
          <w:rFonts w:cs="Times New Roman"/>
          <w:szCs w:val="24"/>
        </w:rPr>
        <w:t xml:space="preserve"> kattava kirjallisuuskatsaus, </w:t>
      </w:r>
      <w:r w:rsidR="000D78F8" w:rsidRPr="00E768AD">
        <w:rPr>
          <w:rFonts w:cs="Times New Roman"/>
          <w:szCs w:val="24"/>
        </w:rPr>
        <w:t>johon</w:t>
      </w:r>
      <w:r w:rsidRPr="00E768AD">
        <w:rPr>
          <w:rFonts w:cs="Times New Roman"/>
          <w:szCs w:val="24"/>
        </w:rPr>
        <w:t xml:space="preserve"> sisällytetyt tutkimukset perustuvat satunnaistettuun vertailuryhmätarkasteluun. </w:t>
      </w:r>
      <w:r w:rsidR="00934770" w:rsidRPr="00E768AD">
        <w:rPr>
          <w:rFonts w:cs="Times New Roman"/>
          <w:szCs w:val="24"/>
        </w:rPr>
        <w:t xml:space="preserve">Erityisen tarkastelun kohteena olivat: työllisyysaste, kuinka nopeasti työllistyi ensimmäiseen työhön, työviikkoja per vuosi ja työsuhteen kesto seuranta-ajan aikana. Tuetun työllistymisen ryhmällä työllisyysprosentti oli 61, kun kontrolliryhmällä työllisyysprosentti oli 23. Tuetun työllistymisen ryhmässä saatiin ensimmäinen työpaikka keskimäärin 10 viikkoa aiemmin kuin kontrolliryhmässä. Keskimääräinen työaika oli 20h/viikossa. </w:t>
      </w:r>
      <w:r w:rsidR="000D23B3" w:rsidRPr="00E768AD">
        <w:rPr>
          <w:rFonts w:cs="Times New Roman"/>
          <w:szCs w:val="24"/>
        </w:rPr>
        <w:t>Alkuperäist</w:t>
      </w:r>
      <w:r w:rsidR="000D78F8" w:rsidRPr="00E768AD">
        <w:rPr>
          <w:rFonts w:cs="Times New Roman"/>
          <w:szCs w:val="24"/>
        </w:rPr>
        <w:t>utkimuksissa seuranta-ajan kestoa</w:t>
      </w:r>
      <w:r w:rsidR="00845E83" w:rsidRPr="00E768AD">
        <w:rPr>
          <w:rFonts w:cs="Times New Roman"/>
          <w:szCs w:val="24"/>
        </w:rPr>
        <w:t xml:space="preserve"> ei ollut</w:t>
      </w:r>
      <w:r w:rsidR="000D78F8" w:rsidRPr="00E768AD">
        <w:rPr>
          <w:rFonts w:cs="Times New Roman"/>
          <w:szCs w:val="24"/>
        </w:rPr>
        <w:t xml:space="preserve"> standardoitu, joten siitä ei voitu tehdä vakuuttavia johtopäätöksiä.</w:t>
      </w:r>
    </w:p>
    <w:p w:rsidR="00CC5833" w:rsidRPr="00E768AD" w:rsidRDefault="00972380" w:rsidP="00E768AD">
      <w:pPr>
        <w:spacing w:line="276" w:lineRule="auto"/>
        <w:jc w:val="both"/>
        <w:rPr>
          <w:rFonts w:cs="Times New Roman"/>
          <w:szCs w:val="24"/>
        </w:rPr>
      </w:pPr>
      <w:r w:rsidRPr="00E768AD">
        <w:rPr>
          <w:rFonts w:cs="Times New Roman"/>
          <w:szCs w:val="24"/>
        </w:rPr>
        <w:t xml:space="preserve">Paul </w:t>
      </w:r>
      <w:r w:rsidR="000D78F8" w:rsidRPr="00E768AD">
        <w:rPr>
          <w:rFonts w:cs="Times New Roman"/>
          <w:szCs w:val="24"/>
        </w:rPr>
        <w:t xml:space="preserve">Wehman ym. </w:t>
      </w:r>
      <w:r w:rsidRPr="00E768AD">
        <w:rPr>
          <w:rFonts w:cs="Times New Roman"/>
          <w:szCs w:val="24"/>
        </w:rPr>
        <w:t>(</w:t>
      </w:r>
      <w:r w:rsidR="000D78F8" w:rsidRPr="00E768AD">
        <w:rPr>
          <w:rFonts w:cs="Times New Roman"/>
          <w:szCs w:val="24"/>
        </w:rPr>
        <w:t>2012</w:t>
      </w:r>
      <w:r w:rsidRPr="00E768AD">
        <w:rPr>
          <w:rFonts w:cs="Times New Roman"/>
          <w:szCs w:val="24"/>
        </w:rPr>
        <w:t>) tarkastelivat case study -tyyppisessä</w:t>
      </w:r>
      <w:r w:rsidR="00845E83" w:rsidRPr="00E768AD">
        <w:rPr>
          <w:rFonts w:cs="Times New Roman"/>
          <w:szCs w:val="24"/>
        </w:rPr>
        <w:t xml:space="preserve"> tutkimusasetelma</w:t>
      </w:r>
      <w:r w:rsidRPr="00E768AD">
        <w:rPr>
          <w:rFonts w:cs="Times New Roman"/>
          <w:szCs w:val="24"/>
        </w:rPr>
        <w:t>ssa</w:t>
      </w:r>
      <w:r w:rsidR="00845E83" w:rsidRPr="00E768AD">
        <w:rPr>
          <w:rFonts w:cs="Times New Roman"/>
          <w:szCs w:val="24"/>
        </w:rPr>
        <w:t xml:space="preserve"> 33 </w:t>
      </w:r>
      <w:r w:rsidR="00DF5EA9" w:rsidRPr="00E768AD">
        <w:rPr>
          <w:rFonts w:cs="Times New Roman"/>
          <w:szCs w:val="24"/>
        </w:rPr>
        <w:t xml:space="preserve">nuoren </w:t>
      </w:r>
      <w:r w:rsidR="00845E83" w:rsidRPr="00E768AD">
        <w:rPr>
          <w:rFonts w:cs="Times New Roman"/>
          <w:szCs w:val="24"/>
        </w:rPr>
        <w:t>autismi</w:t>
      </w:r>
      <w:r w:rsidR="00DF5EA9" w:rsidRPr="00E768AD">
        <w:rPr>
          <w:rFonts w:cs="Times New Roman"/>
          <w:szCs w:val="24"/>
        </w:rPr>
        <w:t>nkirjon henkilön työllistymistä. Tuettu työllistyminen tarkoitti käytännössä henkilökohtaista työnhaun ja työnteon opettelua työhönvalmentajan kanssa nelivaiheisesti: 1) työnhakijan kiinnostuksen ja osaamisen kartoittaminen, 2) potentiaalisten työpaikkojen kartoittaminen, 3) työntekoon op</w:t>
      </w:r>
      <w:r w:rsidR="00221F4C" w:rsidRPr="00E768AD">
        <w:rPr>
          <w:rFonts w:cs="Times New Roman"/>
          <w:szCs w:val="24"/>
        </w:rPr>
        <w:t>astaminen työpaikalla ja 4) työpaikan</w:t>
      </w:r>
      <w:r w:rsidR="00DF5EA9" w:rsidRPr="00E768AD">
        <w:rPr>
          <w:rFonts w:cs="Times New Roman"/>
          <w:szCs w:val="24"/>
        </w:rPr>
        <w:t xml:space="preserve"> säilymisen kannalta tärkeän tuen kartoitusta. </w:t>
      </w:r>
      <w:r w:rsidR="00342D81" w:rsidRPr="00E768AD">
        <w:rPr>
          <w:rFonts w:cs="Times New Roman"/>
          <w:szCs w:val="24"/>
        </w:rPr>
        <w:t xml:space="preserve">Tulokset: 27 työllistyi avoimille työmarkkinoille ja keskimääräinen työaika oli 22,5h/viikko. 42 % työllistyi sosiaali- ja terveysalalla, 15 % vähittäiskauppaan, 15 % vapaa-ajan- ja kasvatustoimiin ja 6 % ruoka- ja laitoshuoltoon. </w:t>
      </w:r>
      <w:r w:rsidR="005B339C" w:rsidRPr="00E768AD">
        <w:rPr>
          <w:rFonts w:cs="Times New Roman"/>
          <w:szCs w:val="24"/>
        </w:rPr>
        <w:t>Keskimäärin työhönvalmentaja työskenteli 100 tuntia yhtä työllistymistä varten, kuitenkin niin, että ohjaukseen käytetty aika pieneni suhteessa työsuhteen kestoon. Toisin sanoen t</w:t>
      </w:r>
      <w:r w:rsidR="00AC124E" w:rsidRPr="00E768AD">
        <w:rPr>
          <w:rFonts w:cs="Times New Roman"/>
          <w:szCs w:val="24"/>
        </w:rPr>
        <w:t>uen tarve työpaikalla väheni kokemuksen karttuessa.</w:t>
      </w:r>
    </w:p>
    <w:p w:rsidR="005B339C" w:rsidRPr="00E768AD" w:rsidRDefault="005B7394" w:rsidP="00E768AD">
      <w:pPr>
        <w:spacing w:line="276" w:lineRule="auto"/>
        <w:jc w:val="both"/>
        <w:rPr>
          <w:rFonts w:cs="Times New Roman"/>
          <w:szCs w:val="24"/>
        </w:rPr>
      </w:pPr>
      <w:r w:rsidRPr="00E768AD">
        <w:rPr>
          <w:rFonts w:cs="Times New Roman"/>
          <w:szCs w:val="24"/>
        </w:rPr>
        <w:t xml:space="preserve">Wehman ym. </w:t>
      </w:r>
      <w:r w:rsidR="00972380" w:rsidRPr="00E768AD">
        <w:rPr>
          <w:rFonts w:cs="Times New Roman"/>
          <w:szCs w:val="24"/>
        </w:rPr>
        <w:t>(2014) kiinnittivät huomiota</w:t>
      </w:r>
      <w:r w:rsidRPr="00E768AD">
        <w:rPr>
          <w:rFonts w:cs="Times New Roman"/>
          <w:szCs w:val="24"/>
        </w:rPr>
        <w:t xml:space="preserve"> koulun ja työllisty</w:t>
      </w:r>
      <w:r w:rsidR="00972380" w:rsidRPr="00E768AD">
        <w:rPr>
          <w:rFonts w:cs="Times New Roman"/>
          <w:szCs w:val="24"/>
        </w:rPr>
        <w:t>misen väliseen</w:t>
      </w:r>
      <w:r w:rsidRPr="00E768AD">
        <w:rPr>
          <w:rFonts w:cs="Times New Roman"/>
          <w:szCs w:val="24"/>
        </w:rPr>
        <w:t xml:space="preserve"> siirtymävaihe</w:t>
      </w:r>
      <w:r w:rsidR="00972380" w:rsidRPr="00E768AD">
        <w:rPr>
          <w:rFonts w:cs="Times New Roman"/>
          <w:szCs w:val="24"/>
        </w:rPr>
        <w:t>eseen. Aineistona käytettiin</w:t>
      </w:r>
      <w:r w:rsidRPr="00E768AD">
        <w:rPr>
          <w:rFonts w:cs="Times New Roman"/>
          <w:szCs w:val="24"/>
        </w:rPr>
        <w:t xml:space="preserve"> vuoden 2009 Yhdysvaltojen Kuntoutuspalveluviranomaisen rekisteriaineistoja. Aineistossa oli yhteensä 23 298 16–25-vuotiasta kehitysvammaista nuorta. Keskeinen interventio oli </w:t>
      </w:r>
      <w:r w:rsidR="00AF5698" w:rsidRPr="00E768AD">
        <w:rPr>
          <w:rFonts w:cs="Times New Roman"/>
          <w:szCs w:val="24"/>
        </w:rPr>
        <w:t xml:space="preserve">tuettu työllistyminen ja </w:t>
      </w:r>
      <w:r w:rsidR="005D407A" w:rsidRPr="00E768AD">
        <w:rPr>
          <w:rFonts w:cs="Times New Roman"/>
          <w:szCs w:val="24"/>
        </w:rPr>
        <w:t>tulosmuuttujana työllistyminen</w:t>
      </w:r>
      <w:r w:rsidR="00CC5833" w:rsidRPr="00E768AD">
        <w:rPr>
          <w:rFonts w:cs="Times New Roman"/>
          <w:szCs w:val="24"/>
        </w:rPr>
        <w:t xml:space="preserve"> avoimille työmarkkinoille</w:t>
      </w:r>
      <w:r w:rsidR="00AF5698" w:rsidRPr="00E768AD">
        <w:rPr>
          <w:rFonts w:cs="Times New Roman"/>
          <w:szCs w:val="24"/>
        </w:rPr>
        <w:t xml:space="preserve">. Aineisto analysoitiin CART- menetelmällä (Classification &amp; Regression </w:t>
      </w:r>
      <w:r w:rsidR="008D18C1" w:rsidRPr="00E768AD">
        <w:rPr>
          <w:rFonts w:cs="Times New Roman"/>
          <w:szCs w:val="24"/>
        </w:rPr>
        <w:t xml:space="preserve">Trees), jolla analysoitiin sukupuolen, etnisyyden, koulutuksen, vamman ja sosiaaliturvatyypin yhteyttä tuettuun </w:t>
      </w:r>
      <w:r w:rsidR="00B831F3" w:rsidRPr="00E768AD">
        <w:rPr>
          <w:rFonts w:cs="Times New Roman"/>
          <w:szCs w:val="24"/>
        </w:rPr>
        <w:t xml:space="preserve">työllistymiseen osallistumiseen. </w:t>
      </w:r>
      <w:r w:rsidR="00C30493" w:rsidRPr="00E768AD">
        <w:rPr>
          <w:rFonts w:cs="Times New Roman"/>
          <w:szCs w:val="24"/>
        </w:rPr>
        <w:t>Tässä aineistossa tuetun työllistyminen oli vaikuttavinta yksilöille, jotka olivat sosiaaliturvan piirissä, erityisopetuksen opiskelijat sekä kehitysvammaiset ja autismin kirjon nuoret, joilla oli lukiokoulutus.</w:t>
      </w:r>
    </w:p>
    <w:p w:rsidR="008D18C1" w:rsidRPr="00E768AD" w:rsidRDefault="00E72B2F" w:rsidP="00E768AD">
      <w:pPr>
        <w:spacing w:line="276" w:lineRule="auto"/>
        <w:jc w:val="both"/>
        <w:rPr>
          <w:rFonts w:cs="Times New Roman"/>
          <w:szCs w:val="24"/>
        </w:rPr>
      </w:pPr>
      <w:r w:rsidRPr="00E768AD">
        <w:rPr>
          <w:rFonts w:cs="Times New Roman"/>
          <w:szCs w:val="24"/>
        </w:rPr>
        <w:t xml:space="preserve">Nina </w:t>
      </w:r>
      <w:r w:rsidR="00D709B8" w:rsidRPr="00E768AD">
        <w:rPr>
          <w:rFonts w:cs="Times New Roman"/>
          <w:szCs w:val="24"/>
        </w:rPr>
        <w:t xml:space="preserve">Nivala ym. (2018) tekemässä </w:t>
      </w:r>
      <w:r w:rsidR="008D18C1" w:rsidRPr="00E768AD">
        <w:rPr>
          <w:rFonts w:cs="Times New Roman"/>
          <w:szCs w:val="24"/>
        </w:rPr>
        <w:t>systemaat</w:t>
      </w:r>
      <w:r w:rsidR="00D709B8" w:rsidRPr="00E768AD">
        <w:rPr>
          <w:rFonts w:cs="Times New Roman"/>
          <w:szCs w:val="24"/>
        </w:rPr>
        <w:t>tisessa kirjallisuuskatsauksessa</w:t>
      </w:r>
      <w:r w:rsidR="008D18C1" w:rsidRPr="00E768AD">
        <w:rPr>
          <w:rFonts w:cs="Times New Roman"/>
          <w:szCs w:val="24"/>
        </w:rPr>
        <w:t xml:space="preserve"> </w:t>
      </w:r>
      <w:r w:rsidR="00D709B8" w:rsidRPr="00E768AD">
        <w:rPr>
          <w:rFonts w:cs="Times New Roman"/>
          <w:szCs w:val="24"/>
        </w:rPr>
        <w:t>tarkasteltiin kuntoutuksen vaikuttavuutta</w:t>
      </w:r>
      <w:r w:rsidR="008D18C1" w:rsidRPr="00E768AD">
        <w:rPr>
          <w:rFonts w:cs="Times New Roman"/>
          <w:szCs w:val="24"/>
        </w:rPr>
        <w:t xml:space="preserve"> kehitysvammaisten toimintakykyyn </w:t>
      </w:r>
      <w:r w:rsidR="00D709B8" w:rsidRPr="00E768AD">
        <w:rPr>
          <w:rFonts w:cs="Times New Roman"/>
          <w:szCs w:val="24"/>
        </w:rPr>
        <w:t>ja työllistymiseen. Tarkastelun kohteina olivat</w:t>
      </w:r>
      <w:r w:rsidR="008D18C1" w:rsidRPr="00E768AD">
        <w:rPr>
          <w:rFonts w:cs="Times New Roman"/>
          <w:szCs w:val="24"/>
        </w:rPr>
        <w:t xml:space="preserve"> työllistymistä estävät ja edistävät tekijät. </w:t>
      </w:r>
      <w:r w:rsidR="00C04FF9" w:rsidRPr="00E768AD">
        <w:rPr>
          <w:rFonts w:cs="Times New Roman"/>
          <w:szCs w:val="24"/>
        </w:rPr>
        <w:t>Tutkimuksen mukaan työkeskuksissa työskentely ei lisännyt kehitysvammaisten työllistymistä avoimille työmarkkinoille. Työllistymistä edistäviä tekijöitä olivat henkilön oma aktiivisuus ja perheen tuki, työvalmennus, työnantajan ja työyhteisön tuki ja työn arvostaminen sekä työympäristön kehittäminen. Nivalan ym. tulokset koskien työllistymistä edistäviä tekijöitä ovat linjassa esim. Bondin 2004 ja Bondin ym. 2008 tulosten kanssa.</w:t>
      </w:r>
    </w:p>
    <w:p w:rsidR="0019225C" w:rsidRPr="00E768AD" w:rsidRDefault="00E72B2F" w:rsidP="00E768AD">
      <w:pPr>
        <w:spacing w:line="276" w:lineRule="auto"/>
        <w:jc w:val="both"/>
        <w:rPr>
          <w:rFonts w:cs="Times New Roman"/>
          <w:szCs w:val="24"/>
        </w:rPr>
      </w:pPr>
      <w:r w:rsidRPr="00E768AD">
        <w:rPr>
          <w:rFonts w:cs="Times New Roman"/>
          <w:szCs w:val="24"/>
        </w:rPr>
        <w:lastRenderedPageBreak/>
        <w:t xml:space="preserve">Øystein </w:t>
      </w:r>
      <w:r w:rsidR="003C276C" w:rsidRPr="00E768AD">
        <w:rPr>
          <w:rFonts w:cs="Times New Roman"/>
          <w:szCs w:val="24"/>
        </w:rPr>
        <w:t xml:space="preserve">Spjelkavik </w:t>
      </w:r>
      <w:r w:rsidRPr="00E768AD">
        <w:rPr>
          <w:rFonts w:cs="Times New Roman"/>
          <w:szCs w:val="24"/>
        </w:rPr>
        <w:t>(</w:t>
      </w:r>
      <w:r w:rsidR="003C276C" w:rsidRPr="00E768AD">
        <w:rPr>
          <w:rFonts w:cs="Times New Roman"/>
          <w:szCs w:val="24"/>
        </w:rPr>
        <w:t>2012</w:t>
      </w:r>
      <w:r w:rsidRPr="00E768AD">
        <w:rPr>
          <w:rFonts w:cs="Times New Roman"/>
          <w:szCs w:val="24"/>
        </w:rPr>
        <w:t>)</w:t>
      </w:r>
      <w:r w:rsidR="003C276C" w:rsidRPr="00E768AD">
        <w:rPr>
          <w:rFonts w:cs="Times New Roman"/>
          <w:szCs w:val="24"/>
        </w:rPr>
        <w:t xml:space="preserve"> tarkastelee tuetun työllistymisen mallin vaikuttavuutta ja institutionalisoitumista Pohjoismaissa. Pääasiallisena lähteenä on eri maissa tehdyt selvitykset ja tutkimukset tuetusta työllistymisestä. Huolimatta tuetun työllistymisen </w:t>
      </w:r>
      <w:r w:rsidR="00F22BC3" w:rsidRPr="00E768AD">
        <w:rPr>
          <w:rFonts w:cs="Times New Roman"/>
          <w:szCs w:val="24"/>
        </w:rPr>
        <w:t>toimivuudesta</w:t>
      </w:r>
      <w:r w:rsidR="003C276C" w:rsidRPr="00E768AD">
        <w:rPr>
          <w:rFonts w:cs="Times New Roman"/>
          <w:szCs w:val="24"/>
        </w:rPr>
        <w:t xml:space="preserve"> työllistymisessä avoimille työmarkkinoille ”perinteinen” avotyötoiminta</w:t>
      </w:r>
      <w:r w:rsidR="006D122C" w:rsidRPr="00E768AD">
        <w:rPr>
          <w:rFonts w:cs="Times New Roman"/>
          <w:szCs w:val="24"/>
        </w:rPr>
        <w:t xml:space="preserve"> työkeskuksissa</w:t>
      </w:r>
      <w:r w:rsidR="003C276C" w:rsidRPr="00E768AD">
        <w:rPr>
          <w:rFonts w:cs="Times New Roman"/>
          <w:szCs w:val="24"/>
        </w:rPr>
        <w:t xml:space="preserve"> on yhä yleinen käytäntö. </w:t>
      </w:r>
      <w:r w:rsidRPr="00E768AD">
        <w:rPr>
          <w:rFonts w:cs="Times New Roman"/>
          <w:szCs w:val="24"/>
        </w:rPr>
        <w:t>Hän k</w:t>
      </w:r>
      <w:r w:rsidR="003C276C" w:rsidRPr="00E768AD">
        <w:rPr>
          <w:rFonts w:cs="Times New Roman"/>
          <w:szCs w:val="24"/>
        </w:rPr>
        <w:t xml:space="preserve">uvaa ammatillisen kuntoutuksen vallitsevaa käytäntöä ”train then place” -käsitteellä. </w:t>
      </w:r>
      <w:r w:rsidR="00D845C7" w:rsidRPr="00E768AD">
        <w:rPr>
          <w:rFonts w:cs="Times New Roman"/>
          <w:szCs w:val="24"/>
        </w:rPr>
        <w:t xml:space="preserve">Eri maiden palvelujärjestelmiä ja käytäntöjä analysoiden Spjelkavik argumentoi, että avoimille työmarkkinoille työllistymiseksi asetelmaa tulisi ajatella </w:t>
      </w:r>
      <w:r w:rsidR="00084444" w:rsidRPr="00E768AD">
        <w:rPr>
          <w:rFonts w:cs="Times New Roman"/>
          <w:szCs w:val="24"/>
        </w:rPr>
        <w:t>”</w:t>
      </w:r>
      <w:r w:rsidR="006D122C" w:rsidRPr="00E768AD">
        <w:rPr>
          <w:rFonts w:cs="Times New Roman"/>
          <w:szCs w:val="24"/>
        </w:rPr>
        <w:t xml:space="preserve">place then </w:t>
      </w:r>
      <w:r w:rsidR="00D845C7" w:rsidRPr="00E768AD">
        <w:rPr>
          <w:rFonts w:cs="Times New Roman"/>
          <w:szCs w:val="24"/>
        </w:rPr>
        <w:t>train</w:t>
      </w:r>
      <w:r w:rsidR="00084444" w:rsidRPr="00E768AD">
        <w:rPr>
          <w:rFonts w:cs="Times New Roman"/>
          <w:szCs w:val="24"/>
        </w:rPr>
        <w:t>”</w:t>
      </w:r>
      <w:r w:rsidR="00D845C7" w:rsidRPr="00E768AD">
        <w:rPr>
          <w:rFonts w:cs="Times New Roman"/>
          <w:szCs w:val="24"/>
        </w:rPr>
        <w:t xml:space="preserve"> tyyppisesti, jotta avotyöstä työkeskuk</w:t>
      </w:r>
      <w:r w:rsidR="006D122C" w:rsidRPr="00E768AD">
        <w:rPr>
          <w:rFonts w:cs="Times New Roman"/>
          <w:szCs w:val="24"/>
        </w:rPr>
        <w:t>sissa ei tulisi pysyvä ratkaisu.</w:t>
      </w:r>
    </w:p>
    <w:p w:rsidR="003E0FDC" w:rsidRPr="00E768AD" w:rsidRDefault="00630BD3" w:rsidP="00E768AD">
      <w:pPr>
        <w:spacing w:line="276" w:lineRule="auto"/>
        <w:jc w:val="both"/>
        <w:rPr>
          <w:rFonts w:cs="Times New Roman"/>
          <w:szCs w:val="24"/>
          <w:u w:val="single"/>
        </w:rPr>
      </w:pPr>
      <w:r w:rsidRPr="00E768AD">
        <w:rPr>
          <w:rFonts w:cs="Times New Roman"/>
          <w:szCs w:val="24"/>
          <w:u w:val="single"/>
        </w:rPr>
        <w:t>Opinnollistaminen</w:t>
      </w:r>
      <w:r w:rsidR="003E0FDC" w:rsidRPr="00E768AD">
        <w:rPr>
          <w:rFonts w:cs="Times New Roman"/>
          <w:szCs w:val="24"/>
          <w:u w:val="single"/>
        </w:rPr>
        <w:t>:</w:t>
      </w:r>
    </w:p>
    <w:p w:rsidR="009D28DD" w:rsidRPr="00E768AD" w:rsidRDefault="00960FCC" w:rsidP="00E768AD">
      <w:pPr>
        <w:spacing w:line="276" w:lineRule="auto"/>
        <w:jc w:val="both"/>
        <w:rPr>
          <w:rFonts w:cs="Times New Roman"/>
          <w:szCs w:val="24"/>
        </w:rPr>
      </w:pPr>
      <w:r w:rsidRPr="00E768AD">
        <w:rPr>
          <w:rFonts w:cs="Times New Roman"/>
          <w:szCs w:val="24"/>
        </w:rPr>
        <w:t>David W.</w:t>
      </w:r>
      <w:r w:rsidR="00D43447" w:rsidRPr="00E768AD">
        <w:rPr>
          <w:rFonts w:cs="Times New Roman"/>
          <w:szCs w:val="24"/>
        </w:rPr>
        <w:t xml:space="preserve"> </w:t>
      </w:r>
      <w:r w:rsidRPr="00E768AD">
        <w:rPr>
          <w:rFonts w:cs="Times New Roman"/>
          <w:szCs w:val="24"/>
        </w:rPr>
        <w:t>Test ym</w:t>
      </w:r>
      <w:r w:rsidR="00D43447" w:rsidRPr="00E768AD">
        <w:rPr>
          <w:rFonts w:cs="Times New Roman"/>
          <w:szCs w:val="24"/>
        </w:rPr>
        <w:t>.</w:t>
      </w:r>
      <w:r w:rsidRPr="00E768AD">
        <w:rPr>
          <w:rFonts w:cs="Times New Roman"/>
          <w:szCs w:val="24"/>
        </w:rPr>
        <w:t xml:space="preserve"> (2009) </w:t>
      </w:r>
      <w:r w:rsidR="00C9091F" w:rsidRPr="00E768AD">
        <w:rPr>
          <w:rFonts w:cs="Times New Roman"/>
          <w:szCs w:val="24"/>
        </w:rPr>
        <w:t xml:space="preserve">pyrki </w:t>
      </w:r>
      <w:r w:rsidRPr="00E768AD">
        <w:rPr>
          <w:rFonts w:cs="Times New Roman"/>
          <w:szCs w:val="24"/>
        </w:rPr>
        <w:t xml:space="preserve">systemaattisessa kirjallisuuskatsauksessa </w:t>
      </w:r>
      <w:r w:rsidR="009E0571" w:rsidRPr="00E768AD">
        <w:rPr>
          <w:rFonts w:cs="Times New Roman"/>
          <w:szCs w:val="24"/>
        </w:rPr>
        <w:t>tunnistamaan niitä kouluaikaisia tekijöitä, jot</w:t>
      </w:r>
      <w:r w:rsidR="009D28DD" w:rsidRPr="00E768AD">
        <w:rPr>
          <w:rFonts w:cs="Times New Roman"/>
          <w:szCs w:val="24"/>
        </w:rPr>
        <w:t xml:space="preserve">ka </w:t>
      </w:r>
      <w:r w:rsidR="00B20F96" w:rsidRPr="00E768AD">
        <w:rPr>
          <w:rFonts w:cs="Times New Roman"/>
          <w:szCs w:val="24"/>
        </w:rPr>
        <w:t>edesauttavat</w:t>
      </w:r>
      <w:r w:rsidR="009E0571" w:rsidRPr="00E768AD">
        <w:rPr>
          <w:rFonts w:cs="Times New Roman"/>
          <w:szCs w:val="24"/>
        </w:rPr>
        <w:t xml:space="preserve"> vammaisten nuorten siirtymiä</w:t>
      </w:r>
      <w:r w:rsidR="00597A72" w:rsidRPr="00E768AD">
        <w:rPr>
          <w:rFonts w:cs="Times New Roman"/>
          <w:szCs w:val="24"/>
        </w:rPr>
        <w:t xml:space="preserve"> toiselle asteelle, työelämään</w:t>
      </w:r>
      <w:r w:rsidR="009E0571" w:rsidRPr="00E768AD">
        <w:rPr>
          <w:rFonts w:cs="Times New Roman"/>
          <w:szCs w:val="24"/>
        </w:rPr>
        <w:t xml:space="preserve"> ja itsenäiseen elämään. </w:t>
      </w:r>
      <w:r w:rsidR="009D28DD" w:rsidRPr="00E768AD">
        <w:rPr>
          <w:rFonts w:cs="Times New Roman"/>
          <w:szCs w:val="24"/>
        </w:rPr>
        <w:t xml:space="preserve">Tulosten perusteella identifioitiin 16 muuttujaa, jotka ennustavat sujuvia siirtymiä toiselle asteelle, työhön ja itsenäiseen elämään. </w:t>
      </w:r>
      <w:r w:rsidR="00B20F96" w:rsidRPr="00E768AD">
        <w:rPr>
          <w:rFonts w:cs="Times New Roman"/>
          <w:szCs w:val="24"/>
        </w:rPr>
        <w:t>Desk studyn</w:t>
      </w:r>
      <w:r w:rsidR="009D28DD" w:rsidRPr="00E768AD">
        <w:rPr>
          <w:rFonts w:cs="Times New Roman"/>
          <w:szCs w:val="24"/>
        </w:rPr>
        <w:t xml:space="preserve"> kannalta</w:t>
      </w:r>
      <w:r w:rsidR="00782838" w:rsidRPr="00E768AD">
        <w:rPr>
          <w:rFonts w:cs="Times New Roman"/>
          <w:szCs w:val="24"/>
        </w:rPr>
        <w:t xml:space="preserve"> yksi</w:t>
      </w:r>
      <w:r w:rsidR="009D28DD" w:rsidRPr="00E768AD">
        <w:rPr>
          <w:rFonts w:cs="Times New Roman"/>
          <w:szCs w:val="24"/>
        </w:rPr>
        <w:t xml:space="preserve"> keskeinen tulos on, että opintojen aikainen työharjoittelu/työkokemus oli positiivisesti kytköksissä kaikkiin kolmeen osa-alueeseen.</w:t>
      </w:r>
      <w:r w:rsidRPr="00E768AD">
        <w:rPr>
          <w:rFonts w:cs="Times New Roman"/>
          <w:szCs w:val="24"/>
        </w:rPr>
        <w:t xml:space="preserve"> Tähän tulokseen päätyivät myös Elina </w:t>
      </w:r>
      <w:r w:rsidR="00D43447" w:rsidRPr="00E768AD">
        <w:rPr>
          <w:rFonts w:cs="Times New Roman"/>
          <w:szCs w:val="24"/>
        </w:rPr>
        <w:t>Ekholm ja</w:t>
      </w:r>
      <w:r w:rsidRPr="00E768AD">
        <w:rPr>
          <w:rFonts w:cs="Times New Roman"/>
          <w:szCs w:val="24"/>
        </w:rPr>
        <w:t xml:space="preserve"> Antti Teittinen (2014) vammaisten nuorten, työnantajien ja työhönvalmentajien haastattelututkimuksessaan. Kaikkiaan nämä </w:t>
      </w:r>
      <w:r w:rsidR="00782838" w:rsidRPr="00E768AD">
        <w:rPr>
          <w:rFonts w:cs="Times New Roman"/>
          <w:szCs w:val="24"/>
        </w:rPr>
        <w:t>tul</w:t>
      </w:r>
      <w:r w:rsidRPr="00E768AD">
        <w:rPr>
          <w:rFonts w:cs="Times New Roman"/>
          <w:szCs w:val="24"/>
        </w:rPr>
        <w:t>okset ovat linjassa myös aiempien tutkimuksen kanssa, mutta Test ym.</w:t>
      </w:r>
      <w:r w:rsidR="00782838" w:rsidRPr="00E768AD">
        <w:rPr>
          <w:rFonts w:cs="Times New Roman"/>
          <w:szCs w:val="24"/>
        </w:rPr>
        <w:t xml:space="preserve"> t</w:t>
      </w:r>
      <w:r w:rsidR="00B22E8D" w:rsidRPr="00E768AD">
        <w:rPr>
          <w:rFonts w:cs="Times New Roman"/>
          <w:szCs w:val="24"/>
        </w:rPr>
        <w:t>utkimuksessa tulosmuuttujia oli yhden sijaan kolme</w:t>
      </w:r>
      <w:r w:rsidRPr="00E768AD">
        <w:rPr>
          <w:rFonts w:cs="Times New Roman"/>
          <w:szCs w:val="24"/>
        </w:rPr>
        <w:t>.</w:t>
      </w:r>
    </w:p>
    <w:p w:rsidR="00597A72" w:rsidRPr="00E768AD" w:rsidRDefault="00706654" w:rsidP="00E768AD">
      <w:pPr>
        <w:spacing w:line="276" w:lineRule="auto"/>
        <w:jc w:val="both"/>
        <w:rPr>
          <w:rFonts w:cs="Times New Roman"/>
          <w:szCs w:val="24"/>
        </w:rPr>
      </w:pPr>
      <w:r w:rsidRPr="00E768AD">
        <w:rPr>
          <w:rFonts w:cs="Times New Roman"/>
          <w:szCs w:val="24"/>
        </w:rPr>
        <w:t xml:space="preserve">Mason G.Haber ym. (2016) arvioivat Test ym. tutkimusta ja huomauttavat, että siinä </w:t>
      </w:r>
      <w:r w:rsidR="006F0F32" w:rsidRPr="00E768AD">
        <w:rPr>
          <w:rFonts w:cs="Times New Roman"/>
          <w:szCs w:val="24"/>
        </w:rPr>
        <w:t xml:space="preserve">on </w:t>
      </w:r>
      <w:r w:rsidR="00597A72" w:rsidRPr="00E768AD">
        <w:rPr>
          <w:rFonts w:cs="Times New Roman"/>
          <w:szCs w:val="24"/>
        </w:rPr>
        <w:t xml:space="preserve">liian yksioikoisia </w:t>
      </w:r>
      <w:r w:rsidR="00C44B71" w:rsidRPr="00E768AD">
        <w:rPr>
          <w:rFonts w:cs="Times New Roman"/>
          <w:szCs w:val="24"/>
        </w:rPr>
        <w:t>tulkintoja korrelaatiosta</w:t>
      </w:r>
      <w:r w:rsidR="00597A72" w:rsidRPr="00E768AD">
        <w:rPr>
          <w:rFonts w:cs="Times New Roman"/>
          <w:szCs w:val="24"/>
        </w:rPr>
        <w:t xml:space="preserve"> kouluaikaisten tekijöiden ja toisen asteen, työllistymisen ja itsenäisen elämän välille.</w:t>
      </w:r>
      <w:r w:rsidR="00DD0BD5" w:rsidRPr="00E768AD">
        <w:rPr>
          <w:rFonts w:cs="Times New Roman"/>
          <w:szCs w:val="24"/>
        </w:rPr>
        <w:t xml:space="preserve"> Haber ym. päätyvät</w:t>
      </w:r>
      <w:r w:rsidR="00C44B71" w:rsidRPr="00E768AD">
        <w:rPr>
          <w:rFonts w:cs="Times New Roman"/>
          <w:szCs w:val="24"/>
        </w:rPr>
        <w:t xml:space="preserve"> kuitenkin</w:t>
      </w:r>
      <w:r w:rsidR="00DD0BD5" w:rsidRPr="00E768AD">
        <w:rPr>
          <w:rFonts w:cs="Times New Roman"/>
          <w:szCs w:val="24"/>
        </w:rPr>
        <w:t xml:space="preserve"> samansuuntaisiin tuloksiin, mutta pienemmillä korrelaatio</w:t>
      </w:r>
      <w:r w:rsidR="003D38D6" w:rsidRPr="00E768AD">
        <w:rPr>
          <w:rFonts w:cs="Times New Roman"/>
          <w:szCs w:val="24"/>
        </w:rPr>
        <w:t>i</w:t>
      </w:r>
      <w:r w:rsidR="00DD0BD5" w:rsidRPr="00E768AD">
        <w:rPr>
          <w:rFonts w:cs="Times New Roman"/>
          <w:szCs w:val="24"/>
        </w:rPr>
        <w:t>lla.</w:t>
      </w:r>
      <w:r w:rsidR="006F0F32" w:rsidRPr="00E768AD">
        <w:rPr>
          <w:rFonts w:cs="Times New Roman"/>
          <w:szCs w:val="24"/>
        </w:rPr>
        <w:t xml:space="preserve"> Tällainen metodologinen keskustelu on tyypillistä tieteellisen tiedon itsekorjaavuuden prosessia varsinkin kun Test itse on muk</w:t>
      </w:r>
      <w:r w:rsidR="00B94F2C">
        <w:rPr>
          <w:rFonts w:cs="Times New Roman"/>
          <w:szCs w:val="24"/>
        </w:rPr>
        <w:t>ana Haberin tutkimusryhmässä kyseisessä</w:t>
      </w:r>
      <w:r w:rsidR="006F0F32" w:rsidRPr="00E768AD">
        <w:rPr>
          <w:rFonts w:cs="Times New Roman"/>
          <w:szCs w:val="24"/>
        </w:rPr>
        <w:t xml:space="preserve"> artikkelissa.</w:t>
      </w:r>
    </w:p>
    <w:p w:rsidR="00D06F7C" w:rsidRPr="00E768AD" w:rsidRDefault="00AF6F2B" w:rsidP="00E768AD">
      <w:pPr>
        <w:spacing w:line="276" w:lineRule="auto"/>
        <w:jc w:val="both"/>
        <w:rPr>
          <w:rFonts w:cs="Times New Roman"/>
          <w:szCs w:val="24"/>
        </w:rPr>
      </w:pPr>
      <w:r w:rsidRPr="00E768AD">
        <w:rPr>
          <w:rFonts w:cs="Times New Roman"/>
          <w:szCs w:val="24"/>
        </w:rPr>
        <w:t xml:space="preserve">Scott </w:t>
      </w:r>
      <w:r w:rsidR="009D28DD" w:rsidRPr="00E768AD">
        <w:rPr>
          <w:rFonts w:cs="Times New Roman"/>
          <w:szCs w:val="24"/>
        </w:rPr>
        <w:t>Bellman ym (2014)</w:t>
      </w:r>
      <w:r w:rsidRPr="00E768AD">
        <w:rPr>
          <w:rFonts w:cs="Times New Roman"/>
          <w:szCs w:val="24"/>
        </w:rPr>
        <w:t xml:space="preserve"> tekemässä tapaustutkimuksessa</w:t>
      </w:r>
      <w:r w:rsidR="009D28DD" w:rsidRPr="00E768AD">
        <w:rPr>
          <w:rFonts w:cs="Times New Roman"/>
          <w:szCs w:val="24"/>
        </w:rPr>
        <w:t xml:space="preserve"> </w:t>
      </w:r>
      <w:r w:rsidR="00782838" w:rsidRPr="00E768AD">
        <w:rPr>
          <w:rFonts w:cs="Times New Roman"/>
          <w:szCs w:val="24"/>
        </w:rPr>
        <w:t xml:space="preserve">tarkasteltiin erilaisia opinnollistamisen (work-based learning) menetelmiä. </w:t>
      </w:r>
      <w:r w:rsidRPr="00E768AD">
        <w:rPr>
          <w:rFonts w:cs="Times New Roman"/>
          <w:szCs w:val="24"/>
        </w:rPr>
        <w:t>H</w:t>
      </w:r>
      <w:r w:rsidR="001039C0" w:rsidRPr="00E768AD">
        <w:rPr>
          <w:rFonts w:cs="Times New Roman"/>
          <w:szCs w:val="24"/>
        </w:rPr>
        <w:t>yväksi koettu</w:t>
      </w:r>
      <w:r w:rsidR="00305384" w:rsidRPr="00E768AD">
        <w:rPr>
          <w:rFonts w:cs="Times New Roman"/>
          <w:szCs w:val="24"/>
        </w:rPr>
        <w:t xml:space="preserve"> op</w:t>
      </w:r>
      <w:r w:rsidRPr="00E768AD">
        <w:rPr>
          <w:rFonts w:cs="Times New Roman"/>
          <w:szCs w:val="24"/>
        </w:rPr>
        <w:t>innollistamisen menetel</w:t>
      </w:r>
      <w:r w:rsidR="001039C0" w:rsidRPr="00E768AD">
        <w:rPr>
          <w:rFonts w:cs="Times New Roman"/>
          <w:szCs w:val="24"/>
        </w:rPr>
        <w:t xml:space="preserve">mä oli </w:t>
      </w:r>
      <w:r w:rsidR="00BB791D" w:rsidRPr="00E768AD">
        <w:rPr>
          <w:rFonts w:cs="Times New Roman"/>
          <w:szCs w:val="24"/>
        </w:rPr>
        <w:t xml:space="preserve">Job Shadow </w:t>
      </w:r>
      <w:r w:rsidR="001039C0" w:rsidRPr="00E768AD">
        <w:rPr>
          <w:rFonts w:cs="Times New Roman"/>
          <w:szCs w:val="24"/>
        </w:rPr>
        <w:t>–</w:t>
      </w:r>
      <w:r w:rsidR="00BB791D" w:rsidRPr="00E768AD">
        <w:rPr>
          <w:rFonts w:cs="Times New Roman"/>
          <w:szCs w:val="24"/>
        </w:rPr>
        <w:t>päivät</w:t>
      </w:r>
      <w:r w:rsidR="001039C0" w:rsidRPr="00E768AD">
        <w:rPr>
          <w:rFonts w:cs="Times New Roman"/>
          <w:szCs w:val="24"/>
        </w:rPr>
        <w:t>, joissa pyritään tuomaan esille osatyökykyisten motivaatio ja osaaminen työntekoon sekä mahdollistaa kohtaamisia työnantajien ja potentiaalisten työntekijöiden kanssa. Muita opinnollistamisen meentelmiä olivat</w:t>
      </w:r>
      <w:r w:rsidR="00BB791D" w:rsidRPr="00E768AD">
        <w:rPr>
          <w:rFonts w:cs="Times New Roman"/>
          <w:szCs w:val="24"/>
        </w:rPr>
        <w:t xml:space="preserve"> urapaneelit, työpajat, </w:t>
      </w:r>
      <w:r w:rsidR="00305384" w:rsidRPr="00E768AD">
        <w:rPr>
          <w:rFonts w:cs="Times New Roman"/>
          <w:szCs w:val="24"/>
        </w:rPr>
        <w:t>mentorointi ja vertaistuki sekä ideointikilpailut. Projekteihin osallistujien kokemuksia kerättiin kyselylomakkeella ja vii</w:t>
      </w:r>
      <w:r w:rsidR="00556F05" w:rsidRPr="00E768AD">
        <w:rPr>
          <w:rFonts w:cs="Times New Roman"/>
          <w:szCs w:val="24"/>
        </w:rPr>
        <w:t>si</w:t>
      </w:r>
      <w:r w:rsidR="00B20F96" w:rsidRPr="00E768AD">
        <w:rPr>
          <w:rFonts w:cs="Times New Roman"/>
          <w:szCs w:val="24"/>
        </w:rPr>
        <w:t>asteisella vastaus</w:t>
      </w:r>
      <w:r w:rsidR="00305384" w:rsidRPr="00E768AD">
        <w:rPr>
          <w:rFonts w:cs="Times New Roman"/>
          <w:szCs w:val="24"/>
        </w:rPr>
        <w:t>asteikolla. Vastaajat arvioivat tietonsa erilaisista työmahdollisuuksista parantuneen sekä motivaation ja itsetunnon kasvaneen.</w:t>
      </w:r>
      <w:r w:rsidR="001039C0" w:rsidRPr="00E768AD">
        <w:rPr>
          <w:rFonts w:cs="Times New Roman"/>
          <w:szCs w:val="24"/>
        </w:rPr>
        <w:t xml:space="preserve"> </w:t>
      </w:r>
    </w:p>
    <w:p w:rsidR="00D06F7C" w:rsidRPr="00E768AD" w:rsidRDefault="00922682" w:rsidP="00E768AD">
      <w:pPr>
        <w:spacing w:line="276" w:lineRule="auto"/>
        <w:jc w:val="both"/>
        <w:rPr>
          <w:rFonts w:cs="Times New Roman"/>
          <w:szCs w:val="24"/>
        </w:rPr>
      </w:pPr>
      <w:r w:rsidRPr="00922682">
        <w:rPr>
          <w:rFonts w:cs="Times New Roman"/>
          <w:szCs w:val="24"/>
        </w:rPr>
        <w:t xml:space="preserve">Marianne Mooneyand ja </w:t>
      </w:r>
      <w:r w:rsidR="00A450E1" w:rsidRPr="00922682">
        <w:rPr>
          <w:rFonts w:cs="Times New Roman"/>
          <w:szCs w:val="24"/>
        </w:rPr>
        <w:t xml:space="preserve">Linda </w:t>
      </w:r>
      <w:r>
        <w:rPr>
          <w:rFonts w:cs="Times New Roman"/>
          <w:szCs w:val="24"/>
        </w:rPr>
        <w:t xml:space="preserve">Scholl </w:t>
      </w:r>
      <w:r w:rsidR="00D1217E" w:rsidRPr="00E768AD">
        <w:rPr>
          <w:rFonts w:cs="Times New Roman"/>
          <w:szCs w:val="24"/>
        </w:rPr>
        <w:t>(2004)</w:t>
      </w:r>
      <w:r w:rsidR="00A450E1" w:rsidRPr="00E768AD">
        <w:rPr>
          <w:rFonts w:cs="Times New Roman"/>
          <w:szCs w:val="24"/>
        </w:rPr>
        <w:t xml:space="preserve"> ovat myös kiinnittäneet enemmän huomiot</w:t>
      </w:r>
      <w:r w:rsidR="000B306F" w:rsidRPr="00E768AD">
        <w:rPr>
          <w:rFonts w:cs="Times New Roman"/>
          <w:szCs w:val="24"/>
        </w:rPr>
        <w:t>a työ</w:t>
      </w:r>
      <w:r w:rsidR="00A450E1" w:rsidRPr="00E768AD">
        <w:rPr>
          <w:rFonts w:cs="Times New Roman"/>
          <w:szCs w:val="24"/>
        </w:rPr>
        <w:t xml:space="preserve">ssä oppimisen kehittämiseen, kuin </w:t>
      </w:r>
      <w:r w:rsidR="000B306F" w:rsidRPr="00E768AD">
        <w:rPr>
          <w:rFonts w:cs="Times New Roman"/>
          <w:szCs w:val="24"/>
        </w:rPr>
        <w:t>työllistymiseen. H</w:t>
      </w:r>
      <w:r w:rsidR="00A450E1" w:rsidRPr="00E768AD">
        <w:rPr>
          <w:rFonts w:cs="Times New Roman"/>
          <w:szCs w:val="24"/>
        </w:rPr>
        <w:t>aastattelututkimuksessa</w:t>
      </w:r>
      <w:r w:rsidR="00D1217E" w:rsidRPr="00E768AD">
        <w:rPr>
          <w:rFonts w:cs="Times New Roman"/>
          <w:szCs w:val="24"/>
        </w:rPr>
        <w:t xml:space="preserve"> tarkasteltiin 31 nuoren (joista 19 nuorella oli jokin fyysinen vamma tai oppimisvaikeus) kokemuksia Youth Apprenticeship -ohj</w:t>
      </w:r>
      <w:r w:rsidR="000F2B5E" w:rsidRPr="00E768AD">
        <w:rPr>
          <w:rFonts w:cs="Times New Roman"/>
          <w:szCs w:val="24"/>
        </w:rPr>
        <w:t>elmasta. Ohjelmassa kokeiltiin kaksivuotista</w:t>
      </w:r>
      <w:r w:rsidR="00D1217E" w:rsidRPr="00E768AD">
        <w:rPr>
          <w:rFonts w:cs="Times New Roman"/>
          <w:szCs w:val="24"/>
        </w:rPr>
        <w:t xml:space="preserve"> o</w:t>
      </w:r>
      <w:r w:rsidR="00A450E1" w:rsidRPr="00E768AD">
        <w:rPr>
          <w:rFonts w:cs="Times New Roman"/>
          <w:szCs w:val="24"/>
        </w:rPr>
        <w:t>ppisopimuskoulutus</w:t>
      </w:r>
      <w:r w:rsidR="000F2B5E" w:rsidRPr="00E768AD">
        <w:rPr>
          <w:rFonts w:cs="Times New Roman"/>
          <w:szCs w:val="24"/>
        </w:rPr>
        <w:t>ta. O</w:t>
      </w:r>
      <w:r w:rsidR="00A450E1" w:rsidRPr="00E768AD">
        <w:rPr>
          <w:rFonts w:cs="Times New Roman"/>
          <w:szCs w:val="24"/>
        </w:rPr>
        <w:t>sallistujat olivat samanaikaisesti</w:t>
      </w:r>
      <w:r w:rsidR="00D1217E" w:rsidRPr="00E768AD">
        <w:rPr>
          <w:rFonts w:cs="Times New Roman"/>
          <w:szCs w:val="24"/>
        </w:rPr>
        <w:t xml:space="preserve"> palkkatyösuhteessa ja </w:t>
      </w:r>
      <w:r w:rsidR="00A450E1" w:rsidRPr="00E768AD">
        <w:rPr>
          <w:rFonts w:cs="Times New Roman"/>
          <w:szCs w:val="24"/>
        </w:rPr>
        <w:t>opiskelivat</w:t>
      </w:r>
      <w:r w:rsidR="008940D7" w:rsidRPr="00E768AD">
        <w:rPr>
          <w:rFonts w:cs="Times New Roman"/>
          <w:szCs w:val="24"/>
        </w:rPr>
        <w:t xml:space="preserve">. </w:t>
      </w:r>
      <w:r w:rsidR="00A450E1" w:rsidRPr="00E768AD">
        <w:rPr>
          <w:rFonts w:cs="Times New Roman"/>
          <w:szCs w:val="24"/>
        </w:rPr>
        <w:t xml:space="preserve">He olivat </w:t>
      </w:r>
      <w:r w:rsidR="000B306F" w:rsidRPr="00E768AD">
        <w:rPr>
          <w:rFonts w:cs="Times New Roman"/>
          <w:szCs w:val="24"/>
        </w:rPr>
        <w:t>10–</w:t>
      </w:r>
      <w:r w:rsidR="008940D7" w:rsidRPr="00E768AD">
        <w:rPr>
          <w:rFonts w:cs="Times New Roman"/>
          <w:szCs w:val="24"/>
        </w:rPr>
        <w:t>15 tuntia vi</w:t>
      </w:r>
      <w:r w:rsidR="00A450E1" w:rsidRPr="00E768AD">
        <w:rPr>
          <w:rFonts w:cs="Times New Roman"/>
          <w:szCs w:val="24"/>
        </w:rPr>
        <w:t>ikossa työpaikalla ja opiskelivat</w:t>
      </w:r>
      <w:r w:rsidR="00C44B71" w:rsidRPr="00E768AD">
        <w:rPr>
          <w:rFonts w:cs="Times New Roman"/>
          <w:szCs w:val="24"/>
        </w:rPr>
        <w:t xml:space="preserve"> 3–</w:t>
      </w:r>
      <w:r w:rsidR="008940D7" w:rsidRPr="00E768AD">
        <w:rPr>
          <w:rFonts w:cs="Times New Roman"/>
          <w:szCs w:val="24"/>
        </w:rPr>
        <w:t>6 tuntia</w:t>
      </w:r>
      <w:r w:rsidR="00D1217E" w:rsidRPr="00E768AD">
        <w:rPr>
          <w:rFonts w:cs="Times New Roman"/>
          <w:szCs w:val="24"/>
        </w:rPr>
        <w:t xml:space="preserve"> </w:t>
      </w:r>
      <w:r w:rsidR="008940D7" w:rsidRPr="00E768AD">
        <w:rPr>
          <w:rFonts w:cs="Times New Roman"/>
          <w:szCs w:val="24"/>
        </w:rPr>
        <w:t xml:space="preserve">viikossa. </w:t>
      </w:r>
      <w:r w:rsidR="000B306F" w:rsidRPr="00E768AD">
        <w:rPr>
          <w:rFonts w:cs="Times New Roman"/>
          <w:szCs w:val="24"/>
        </w:rPr>
        <w:t xml:space="preserve">Ohjelman käytäntöjä arvioitiin suhteessa ohjelman </w:t>
      </w:r>
      <w:r w:rsidR="000B306F" w:rsidRPr="00E768AD">
        <w:rPr>
          <w:rFonts w:cs="Times New Roman"/>
          <w:szCs w:val="24"/>
        </w:rPr>
        <w:lastRenderedPageBreak/>
        <w:t xml:space="preserve">loppuun suorittamiseen. </w:t>
      </w:r>
      <w:r w:rsidR="00A450E1" w:rsidRPr="00E768AD">
        <w:rPr>
          <w:rFonts w:cs="Times New Roman"/>
          <w:szCs w:val="24"/>
        </w:rPr>
        <w:t>J</w:t>
      </w:r>
      <w:r w:rsidR="000B306F" w:rsidRPr="00E768AD">
        <w:rPr>
          <w:rFonts w:cs="Times New Roman"/>
          <w:szCs w:val="24"/>
        </w:rPr>
        <w:t xml:space="preserve">ohtopäätöksenä korostetaan eri toimijoiden (työpaikka, oppilaitos, perhe) yhteistyötä sekä tarvittavia tukitoimia ja yksilöllisten tukitoimien parempaa </w:t>
      </w:r>
      <w:r w:rsidR="00D56F8B" w:rsidRPr="00E768AD">
        <w:rPr>
          <w:rFonts w:cs="Times New Roman"/>
          <w:szCs w:val="24"/>
        </w:rPr>
        <w:t>kartoittamista</w:t>
      </w:r>
      <w:r w:rsidR="00A450E1" w:rsidRPr="00E768AD">
        <w:rPr>
          <w:rFonts w:cs="Times New Roman"/>
          <w:szCs w:val="24"/>
        </w:rPr>
        <w:t>,</w:t>
      </w:r>
      <w:r w:rsidR="00D56F8B" w:rsidRPr="00E768AD">
        <w:rPr>
          <w:rFonts w:cs="Times New Roman"/>
          <w:szCs w:val="24"/>
        </w:rPr>
        <w:t xml:space="preserve"> jotta ohjelman </w:t>
      </w:r>
      <w:r w:rsidR="00A450E1" w:rsidRPr="00E768AD">
        <w:rPr>
          <w:rFonts w:cs="Times New Roman"/>
          <w:szCs w:val="24"/>
        </w:rPr>
        <w:t>suorittaminen loppuun voisi onnistua</w:t>
      </w:r>
      <w:r w:rsidR="00D56F8B" w:rsidRPr="00E768AD">
        <w:rPr>
          <w:rFonts w:cs="Times New Roman"/>
          <w:szCs w:val="24"/>
        </w:rPr>
        <w:t>.</w:t>
      </w:r>
    </w:p>
    <w:p w:rsidR="00B20F96" w:rsidRPr="00E768AD" w:rsidRDefault="0034388D" w:rsidP="00E768AD">
      <w:pPr>
        <w:spacing w:line="276" w:lineRule="auto"/>
        <w:jc w:val="both"/>
        <w:rPr>
          <w:rFonts w:cs="Times New Roman"/>
          <w:szCs w:val="24"/>
        </w:rPr>
      </w:pPr>
      <w:r w:rsidRPr="00E768AD">
        <w:rPr>
          <w:rFonts w:cs="Times New Roman"/>
          <w:szCs w:val="24"/>
        </w:rPr>
        <w:t>Kriittisenä kysymyksenä opinnollistamiseen liittyen voi nostaa esiin inkluusion ja ekskluusion samanaikaisuuden: tuottaako opinnollistaminen</w:t>
      </w:r>
      <w:r w:rsidR="00AA049B" w:rsidRPr="00E768AD">
        <w:rPr>
          <w:rFonts w:cs="Times New Roman"/>
          <w:szCs w:val="24"/>
        </w:rPr>
        <w:t xml:space="preserve"> (ja työelämäpainotteisuus</w:t>
      </w:r>
      <w:r w:rsidRPr="00E768AD">
        <w:rPr>
          <w:rFonts w:cs="Times New Roman"/>
          <w:szCs w:val="24"/>
        </w:rPr>
        <w:t xml:space="preserve">) ekskluusiota sivistyksellisistä oikeuksista? </w:t>
      </w:r>
      <w:r w:rsidR="001921F1" w:rsidRPr="00E768AD">
        <w:rPr>
          <w:rFonts w:cs="Times New Roman"/>
          <w:szCs w:val="24"/>
        </w:rPr>
        <w:t xml:space="preserve">Toisin sanoen työelämäpainotteinen opinnollistaminen suunnitellusti tarvittavien opetusjaksojen ja riittävän tuen kanssa on tutkimuksissa havaittu välttämättömäksi yhdistelmäksi. Viime aikaisessa julkisessa keskustelussa on tähän liittyen nostettu esiin ammatillisen opetuksen säästöt, joiden katsotaan aiheuttaneen tilanteen, jossa on jouduttu siirtymään työssä oppimiseen tai työelämänpainotteisuuteen opetusjaksojen karsimisen takia </w:t>
      </w:r>
      <w:r w:rsidRPr="00E768AD">
        <w:rPr>
          <w:rFonts w:cs="Times New Roman"/>
          <w:szCs w:val="24"/>
        </w:rPr>
        <w:t>(esim</w:t>
      </w:r>
      <w:r w:rsidR="001723D3" w:rsidRPr="00E768AD">
        <w:rPr>
          <w:rFonts w:cs="Times New Roman"/>
          <w:szCs w:val="24"/>
        </w:rPr>
        <w:t>.</w:t>
      </w:r>
      <w:r w:rsidRPr="00E768AD">
        <w:rPr>
          <w:rFonts w:cs="Times New Roman"/>
          <w:szCs w:val="24"/>
        </w:rPr>
        <w:t xml:space="preserve"> Niemi &amp; Jahnukainen 2018; Avis 2004)</w:t>
      </w:r>
      <w:r w:rsidR="00630BD3" w:rsidRPr="00E768AD">
        <w:rPr>
          <w:rFonts w:cs="Times New Roman"/>
          <w:szCs w:val="24"/>
        </w:rPr>
        <w:t xml:space="preserve"> </w:t>
      </w:r>
    </w:p>
    <w:p w:rsidR="006D585A" w:rsidRPr="00E768AD" w:rsidRDefault="00627DE7" w:rsidP="00E768AD">
      <w:pPr>
        <w:spacing w:line="276" w:lineRule="auto"/>
        <w:jc w:val="both"/>
        <w:rPr>
          <w:rFonts w:cs="Times New Roman"/>
          <w:szCs w:val="24"/>
          <w:u w:val="single"/>
        </w:rPr>
      </w:pPr>
      <w:r w:rsidRPr="00E768AD">
        <w:rPr>
          <w:rFonts w:cs="Times New Roman"/>
          <w:szCs w:val="24"/>
        </w:rPr>
        <w:t>Koulutuksen merkitys on avainasemas</w:t>
      </w:r>
      <w:r w:rsidR="00F57B8C" w:rsidRPr="00E768AD">
        <w:rPr>
          <w:rFonts w:cs="Times New Roman"/>
          <w:szCs w:val="24"/>
        </w:rPr>
        <w:t>sa työmarkkinoille kiinnittymisessä</w:t>
      </w:r>
      <w:r w:rsidRPr="00E768AD">
        <w:rPr>
          <w:rFonts w:cs="Times New Roman"/>
          <w:szCs w:val="24"/>
        </w:rPr>
        <w:t>. Koulutukse</w:t>
      </w:r>
      <w:r w:rsidR="007D3F01" w:rsidRPr="00E768AD">
        <w:rPr>
          <w:rFonts w:cs="Times New Roman"/>
          <w:szCs w:val="24"/>
        </w:rPr>
        <w:t>n ja työelämän välisen siirtymän</w:t>
      </w:r>
      <w:r w:rsidRPr="00E768AD">
        <w:rPr>
          <w:rFonts w:cs="Times New Roman"/>
          <w:szCs w:val="24"/>
        </w:rPr>
        <w:t xml:space="preserve"> voidaan ajatella olleen aina yhteiskunta- ja sosiaalipolitiikan keskiössä. </w:t>
      </w:r>
      <w:r w:rsidR="00F57B8C" w:rsidRPr="00E768AD">
        <w:rPr>
          <w:rFonts w:cs="Times New Roman"/>
          <w:szCs w:val="24"/>
        </w:rPr>
        <w:t>Tänä päivänä tuo siirtymä</w:t>
      </w:r>
      <w:r w:rsidRPr="00E768AD">
        <w:rPr>
          <w:rFonts w:cs="Times New Roman"/>
          <w:szCs w:val="24"/>
        </w:rPr>
        <w:t xml:space="preserve"> näyttäytyy kuitenkin erilaisena y</w:t>
      </w:r>
      <w:r w:rsidR="00D135EC" w:rsidRPr="00E768AD">
        <w:rPr>
          <w:rFonts w:cs="Times New Roman"/>
          <w:szCs w:val="24"/>
        </w:rPr>
        <w:t>hteiskunta- ja sosiaalipoliittisena kysymyksenä</w:t>
      </w:r>
      <w:r w:rsidRPr="00E768AD">
        <w:rPr>
          <w:rFonts w:cs="Times New Roman"/>
          <w:szCs w:val="24"/>
        </w:rPr>
        <w:t xml:space="preserve"> kuin aikana, jolloin työmarkkinoilla oli tilaa myös niille, joilla ei ollut</w:t>
      </w:r>
      <w:r w:rsidR="00FE53B9" w:rsidRPr="00E768AD">
        <w:rPr>
          <w:rFonts w:cs="Times New Roman"/>
          <w:szCs w:val="24"/>
        </w:rPr>
        <w:t xml:space="preserve"> perusasteen jälkeisiä opintoja (Hiilamo ym.</w:t>
      </w:r>
      <w:r w:rsidRPr="00E768AD">
        <w:rPr>
          <w:rFonts w:cs="Times New Roman"/>
          <w:szCs w:val="24"/>
        </w:rPr>
        <w:t xml:space="preserve"> 2017, 66). Puhutaan koulutusekspansiosta ja koulutusinflaatiosta, millä tarkoitetaan </w:t>
      </w:r>
      <w:r w:rsidR="00D135EC" w:rsidRPr="00E768AD">
        <w:rPr>
          <w:rFonts w:cs="Times New Roman"/>
          <w:szCs w:val="24"/>
        </w:rPr>
        <w:t xml:space="preserve">ilmiötä, jossa koulutustason nousu johtaa tutkintojen heikompaan työmarkkina-arvoon (Aro 2013). </w:t>
      </w:r>
      <w:r w:rsidR="000A037F" w:rsidRPr="00E768AD">
        <w:rPr>
          <w:rFonts w:cs="Times New Roman"/>
          <w:szCs w:val="24"/>
        </w:rPr>
        <w:t>Mikko Aron (2013, 288) tulkinnan mukaan koulutusinflaatiota käsittelevät tutkimukset pohjautuvat karkeasti kasvatussosiologiseen ja koulutuksen taloustieteelliseen teor</w:t>
      </w:r>
      <w:r w:rsidR="005E42A2" w:rsidRPr="00E768AD">
        <w:rPr>
          <w:rFonts w:cs="Times New Roman"/>
          <w:szCs w:val="24"/>
        </w:rPr>
        <w:t>iaperinteeseen. Ensiksi mainitussa on tarkasteltu</w:t>
      </w:r>
      <w:r w:rsidR="00126D13" w:rsidRPr="00E768AD">
        <w:rPr>
          <w:rFonts w:cs="Times New Roman"/>
          <w:szCs w:val="24"/>
        </w:rPr>
        <w:t xml:space="preserve"> koulutuksen kautta</w:t>
      </w:r>
      <w:r w:rsidR="005E42A2" w:rsidRPr="00E768AD">
        <w:rPr>
          <w:rFonts w:cs="Times New Roman"/>
          <w:szCs w:val="24"/>
        </w:rPr>
        <w:t xml:space="preserve"> sijoittumista sosiaalisiin asemiin, kun taas toiseksi mainitussa on tarkasteltu koulutuksen </w:t>
      </w:r>
      <w:r w:rsidR="00C03791" w:rsidRPr="00E768AD">
        <w:rPr>
          <w:rFonts w:cs="Times New Roman"/>
          <w:szCs w:val="24"/>
        </w:rPr>
        <w:t xml:space="preserve">panoksen ja tuotoksen suhdetta. </w:t>
      </w:r>
      <w:r w:rsidR="005E42A2" w:rsidRPr="00E768AD">
        <w:rPr>
          <w:rFonts w:cs="Times New Roman"/>
          <w:szCs w:val="24"/>
        </w:rPr>
        <w:t>Vaikka tutkimu</w:t>
      </w:r>
      <w:r w:rsidR="00D2675A" w:rsidRPr="00E768AD">
        <w:rPr>
          <w:rFonts w:cs="Times New Roman"/>
          <w:szCs w:val="24"/>
        </w:rPr>
        <w:t>ksissa yhä korostetaan (korkea)</w:t>
      </w:r>
      <w:r w:rsidR="005E42A2" w:rsidRPr="00E768AD">
        <w:rPr>
          <w:rFonts w:cs="Times New Roman"/>
          <w:szCs w:val="24"/>
        </w:rPr>
        <w:t>koulutuksen</w:t>
      </w:r>
      <w:r w:rsidR="00C03791" w:rsidRPr="00E768AD">
        <w:rPr>
          <w:rFonts w:cs="Times New Roman"/>
          <w:szCs w:val="24"/>
        </w:rPr>
        <w:t xml:space="preserve"> olevan</w:t>
      </w:r>
      <w:r w:rsidR="005E42A2" w:rsidRPr="00E768AD">
        <w:rPr>
          <w:rFonts w:cs="Times New Roman"/>
          <w:szCs w:val="24"/>
        </w:rPr>
        <w:t xml:space="preserve"> </w:t>
      </w:r>
      <w:r w:rsidR="00C03791" w:rsidRPr="00E768AD">
        <w:rPr>
          <w:rFonts w:cs="Times New Roman"/>
          <w:szCs w:val="24"/>
        </w:rPr>
        <w:t>taloudellisesti kannattavaa</w:t>
      </w:r>
      <w:r w:rsidR="005E42A2" w:rsidRPr="00E768AD">
        <w:rPr>
          <w:rFonts w:cs="Times New Roman"/>
          <w:szCs w:val="24"/>
        </w:rPr>
        <w:t xml:space="preserve">, </w:t>
      </w:r>
      <w:r w:rsidR="00411130" w:rsidRPr="00E768AD">
        <w:rPr>
          <w:rFonts w:cs="Times New Roman"/>
          <w:szCs w:val="24"/>
        </w:rPr>
        <w:t xml:space="preserve">tunnustetaan, </w:t>
      </w:r>
      <w:r w:rsidR="00574034" w:rsidRPr="00E768AD">
        <w:rPr>
          <w:rFonts w:cs="Times New Roman"/>
          <w:szCs w:val="24"/>
        </w:rPr>
        <w:t xml:space="preserve">että </w:t>
      </w:r>
      <w:r w:rsidR="001E24DE" w:rsidRPr="00E768AD">
        <w:rPr>
          <w:rFonts w:cs="Times New Roman"/>
          <w:szCs w:val="24"/>
        </w:rPr>
        <w:t xml:space="preserve">pelkän perusasteen koulutuksen avulla on hyvin vaikeaa saavuttaa vakiintunutta työmarkkina-asemaa 2000-luvun Suomessa </w:t>
      </w:r>
      <w:r w:rsidR="00411130" w:rsidRPr="00E768AD">
        <w:rPr>
          <w:rFonts w:cs="Times New Roman"/>
          <w:szCs w:val="24"/>
        </w:rPr>
        <w:t xml:space="preserve">(Sipilä ym. </w:t>
      </w:r>
      <w:r w:rsidR="00996C2B" w:rsidRPr="00E768AD">
        <w:rPr>
          <w:rFonts w:cs="Times New Roman"/>
          <w:szCs w:val="24"/>
        </w:rPr>
        <w:t>2011</w:t>
      </w:r>
      <w:r w:rsidR="006D585A" w:rsidRPr="00E768AD">
        <w:rPr>
          <w:rFonts w:cs="Times New Roman"/>
          <w:szCs w:val="24"/>
        </w:rPr>
        <w:t>).</w:t>
      </w:r>
    </w:p>
    <w:p w:rsidR="006D585A" w:rsidRPr="00E768AD" w:rsidRDefault="00325FB8" w:rsidP="00E768AD">
      <w:pPr>
        <w:spacing w:line="276" w:lineRule="auto"/>
        <w:jc w:val="both"/>
        <w:rPr>
          <w:rFonts w:cs="Times New Roman"/>
          <w:szCs w:val="24"/>
          <w:u w:val="single"/>
        </w:rPr>
      </w:pPr>
      <w:r w:rsidRPr="00E768AD">
        <w:rPr>
          <w:rFonts w:cs="Times New Roman"/>
          <w:szCs w:val="24"/>
          <w:u w:val="single"/>
        </w:rPr>
        <w:t>Valmentavat koulutukset</w:t>
      </w:r>
    </w:p>
    <w:p w:rsidR="007174B8" w:rsidRPr="00E768AD" w:rsidRDefault="006D585A" w:rsidP="00E768AD">
      <w:pPr>
        <w:spacing w:line="276" w:lineRule="auto"/>
        <w:jc w:val="both"/>
        <w:rPr>
          <w:rFonts w:cs="Times New Roman"/>
          <w:szCs w:val="24"/>
        </w:rPr>
      </w:pPr>
      <w:r w:rsidRPr="00E768AD">
        <w:rPr>
          <w:rFonts w:cs="Times New Roman"/>
          <w:szCs w:val="24"/>
        </w:rPr>
        <w:t xml:space="preserve">Peruskoulun jälkeisiä siirtymiä ja nivelvaihetta koskeviin huoliin on pyritty vastaamaan </w:t>
      </w:r>
      <w:r w:rsidR="006949E1" w:rsidRPr="00E768AD">
        <w:rPr>
          <w:rFonts w:cs="Times New Roman"/>
          <w:szCs w:val="24"/>
        </w:rPr>
        <w:t xml:space="preserve">muun muassa </w:t>
      </w:r>
      <w:r w:rsidRPr="00E768AD">
        <w:rPr>
          <w:rFonts w:cs="Times New Roman"/>
          <w:szCs w:val="24"/>
        </w:rPr>
        <w:t xml:space="preserve">erilaisilla </w:t>
      </w:r>
      <w:r w:rsidR="006949E1" w:rsidRPr="00E768AD">
        <w:rPr>
          <w:rFonts w:cs="Times New Roman"/>
          <w:szCs w:val="24"/>
        </w:rPr>
        <w:t>valmentavilla koulutuksilla.</w:t>
      </w:r>
      <w:r w:rsidR="00726F70" w:rsidRPr="00E768AD">
        <w:rPr>
          <w:rFonts w:cs="Times New Roman"/>
          <w:szCs w:val="24"/>
        </w:rPr>
        <w:t xml:space="preserve"> Tähän kokonaisuuteen liittyy myös vuonna 2015 aloitettu ammatillisen koulutuksen reformi, j</w:t>
      </w:r>
      <w:r w:rsidR="007174B8" w:rsidRPr="00E768AD">
        <w:rPr>
          <w:rFonts w:cs="Times New Roman"/>
          <w:szCs w:val="24"/>
        </w:rPr>
        <w:t>ossa on korostettu</w:t>
      </w:r>
      <w:r w:rsidR="00726F70" w:rsidRPr="00E768AD">
        <w:rPr>
          <w:rFonts w:cs="Times New Roman"/>
          <w:szCs w:val="24"/>
        </w:rPr>
        <w:t xml:space="preserve"> </w:t>
      </w:r>
      <w:r w:rsidR="007174B8" w:rsidRPr="00E768AD">
        <w:rPr>
          <w:rFonts w:cs="Times New Roman"/>
          <w:szCs w:val="24"/>
        </w:rPr>
        <w:t>ammatillisen koulutuksen yhteiskunnallista merkitystä, rahoituksen ja koulutusrakenteiden uudistamista, alueellista kattavuutta sekä koulutuksen ja työelämän välisen suhteen tiivistämistä. Kuitenkin tällä hetkellä uudistusprosessin tuloksena on havaittavissa ammatillisen opetuksen kriisiytyminen, kun kokonaissäästöt reform</w:t>
      </w:r>
      <w:r w:rsidR="00BC2EA1">
        <w:rPr>
          <w:rFonts w:cs="Times New Roman"/>
          <w:szCs w:val="24"/>
        </w:rPr>
        <w:t>issa ovat olleet noin 250 Me. (Virtanen 2016.</w:t>
      </w:r>
      <w:r w:rsidR="00021FBC" w:rsidRPr="00E768AD">
        <w:rPr>
          <w:rFonts w:cs="Times New Roman"/>
          <w:szCs w:val="24"/>
        </w:rPr>
        <w:t>)</w:t>
      </w:r>
    </w:p>
    <w:p w:rsidR="00D2675A" w:rsidRPr="00E768AD" w:rsidRDefault="009113B2" w:rsidP="00E768AD">
      <w:pPr>
        <w:spacing w:line="276" w:lineRule="auto"/>
        <w:jc w:val="both"/>
        <w:rPr>
          <w:rFonts w:cs="Times New Roman"/>
          <w:szCs w:val="24"/>
        </w:rPr>
      </w:pPr>
      <w:r w:rsidRPr="00E768AD">
        <w:rPr>
          <w:rFonts w:cs="Times New Roman"/>
          <w:szCs w:val="24"/>
        </w:rPr>
        <w:t>A</w:t>
      </w:r>
      <w:r w:rsidR="002920FC" w:rsidRPr="00E768AD">
        <w:rPr>
          <w:rFonts w:cs="Times New Roman"/>
          <w:szCs w:val="24"/>
        </w:rPr>
        <w:t xml:space="preserve">mmatilliseen </w:t>
      </w:r>
      <w:r w:rsidR="00FE53B9" w:rsidRPr="00E768AD">
        <w:rPr>
          <w:rFonts w:cs="Times New Roman"/>
          <w:szCs w:val="24"/>
        </w:rPr>
        <w:t>perus</w:t>
      </w:r>
      <w:r w:rsidR="006949E1" w:rsidRPr="00E768AD">
        <w:rPr>
          <w:rFonts w:cs="Times New Roman"/>
          <w:szCs w:val="24"/>
        </w:rPr>
        <w:t>koulutukseen valmentava</w:t>
      </w:r>
      <w:r w:rsidRPr="00E768AD">
        <w:rPr>
          <w:rFonts w:cs="Times New Roman"/>
          <w:szCs w:val="24"/>
        </w:rPr>
        <w:t>n koulutuksen</w:t>
      </w:r>
      <w:r w:rsidR="006949E1" w:rsidRPr="00E768AD">
        <w:rPr>
          <w:rFonts w:cs="Times New Roman"/>
          <w:szCs w:val="24"/>
        </w:rPr>
        <w:t xml:space="preserve"> (VALMA)</w:t>
      </w:r>
      <w:r w:rsidRPr="00E768AD">
        <w:rPr>
          <w:rFonts w:cs="Times New Roman"/>
          <w:szCs w:val="24"/>
        </w:rPr>
        <w:t xml:space="preserve"> </w:t>
      </w:r>
      <w:r w:rsidR="006949E1" w:rsidRPr="00E768AD">
        <w:rPr>
          <w:rFonts w:cs="Times New Roman"/>
          <w:szCs w:val="24"/>
        </w:rPr>
        <w:t xml:space="preserve">ensisijaisena kohderyhmänä ovat perusopetuksen päättäneet nuoret, jotka tarvitsevat tukea ja valmennusta opiskeluvalmiuksien parantamiseksi ja </w:t>
      </w:r>
      <w:r w:rsidRPr="00E768AD">
        <w:rPr>
          <w:rFonts w:cs="Times New Roman"/>
          <w:szCs w:val="24"/>
        </w:rPr>
        <w:t>joiden tarkoituksena on hakeutua suorittamaan ammatillista perustutkintoa</w:t>
      </w:r>
      <w:r w:rsidR="00A34196" w:rsidRPr="00E768AD">
        <w:rPr>
          <w:rFonts w:cs="Times New Roman"/>
          <w:szCs w:val="24"/>
        </w:rPr>
        <w:t xml:space="preserve"> (OPH 2015a)</w:t>
      </w:r>
      <w:r w:rsidRPr="00E768AD">
        <w:rPr>
          <w:rFonts w:cs="Times New Roman"/>
          <w:szCs w:val="24"/>
        </w:rPr>
        <w:t xml:space="preserve">. Työhön ja itsenäiseen ja elämään valmentavan koulutuksen (TELMA) ensisijaisena kohderyhmänä ovat henkilöt, joiden ei katsota omaavan tarvittavia valmiuksia ammatillisen perustutkinnon </w:t>
      </w:r>
      <w:r w:rsidR="001372F1" w:rsidRPr="00E768AD">
        <w:rPr>
          <w:rFonts w:cs="Times New Roman"/>
          <w:szCs w:val="24"/>
        </w:rPr>
        <w:t>suorit</w:t>
      </w:r>
      <w:r w:rsidR="00FE53B9" w:rsidRPr="00E768AD">
        <w:rPr>
          <w:rFonts w:cs="Times New Roman"/>
          <w:szCs w:val="24"/>
        </w:rPr>
        <w:t>tamiseen (OPH 2015b).</w:t>
      </w:r>
      <w:r w:rsidR="00A52311" w:rsidRPr="00E768AD">
        <w:rPr>
          <w:rFonts w:cs="Times New Roman"/>
          <w:szCs w:val="24"/>
        </w:rPr>
        <w:t xml:space="preserve"> Telma</w:t>
      </w:r>
      <w:r w:rsidR="0098606D" w:rsidRPr="00E768AD">
        <w:rPr>
          <w:rFonts w:cs="Times New Roman"/>
          <w:szCs w:val="24"/>
        </w:rPr>
        <w:t>-koulutus järjestetään a</w:t>
      </w:r>
      <w:r w:rsidR="00A52311" w:rsidRPr="00E768AD">
        <w:rPr>
          <w:rFonts w:cs="Times New Roman"/>
          <w:szCs w:val="24"/>
        </w:rPr>
        <w:t xml:space="preserve">ina </w:t>
      </w:r>
      <w:r w:rsidR="00A52311" w:rsidRPr="00E768AD">
        <w:rPr>
          <w:rFonts w:cs="Times New Roman"/>
          <w:szCs w:val="24"/>
        </w:rPr>
        <w:lastRenderedPageBreak/>
        <w:t>erityisopetuksena,</w:t>
      </w:r>
      <w:r w:rsidR="00C90FA2" w:rsidRPr="00E768AD">
        <w:rPr>
          <w:rFonts w:cs="Times New Roman"/>
          <w:szCs w:val="24"/>
        </w:rPr>
        <w:t xml:space="preserve"> ja sen </w:t>
      </w:r>
      <w:r w:rsidR="00021FBC" w:rsidRPr="00E768AD">
        <w:rPr>
          <w:rFonts w:cs="Times New Roman"/>
          <w:szCs w:val="24"/>
        </w:rPr>
        <w:t>piirissä opiskelevat ovat yleensä kehitysvammaisia.</w:t>
      </w:r>
      <w:r w:rsidR="00C90FA2" w:rsidRPr="00E768AD">
        <w:rPr>
          <w:rFonts w:cs="Times New Roman"/>
          <w:szCs w:val="24"/>
        </w:rPr>
        <w:t xml:space="preserve"> Myös </w:t>
      </w:r>
      <w:r w:rsidR="00A52311" w:rsidRPr="00E768AD">
        <w:rPr>
          <w:rFonts w:cs="Times New Roman"/>
          <w:szCs w:val="24"/>
        </w:rPr>
        <w:t>Valma</w:t>
      </w:r>
      <w:r w:rsidR="00C90FA2" w:rsidRPr="00E768AD">
        <w:rPr>
          <w:rFonts w:cs="Times New Roman"/>
          <w:szCs w:val="24"/>
        </w:rPr>
        <w:t xml:space="preserve">-koulutus voidaan </w:t>
      </w:r>
      <w:r w:rsidR="0098606D" w:rsidRPr="00E768AD">
        <w:rPr>
          <w:rFonts w:cs="Times New Roman"/>
          <w:szCs w:val="24"/>
        </w:rPr>
        <w:t>järjestää erityisopetuksen erityisenä koulutustehtävänä</w:t>
      </w:r>
      <w:r w:rsidR="00767D87" w:rsidRPr="00E768AD">
        <w:rPr>
          <w:rFonts w:cs="Times New Roman"/>
          <w:szCs w:val="24"/>
        </w:rPr>
        <w:t>.</w:t>
      </w:r>
    </w:p>
    <w:p w:rsidR="004F3D97" w:rsidRPr="00E768AD" w:rsidRDefault="008B33EF" w:rsidP="00E768AD">
      <w:pPr>
        <w:spacing w:line="276" w:lineRule="auto"/>
        <w:jc w:val="both"/>
        <w:rPr>
          <w:rFonts w:cs="Times New Roman"/>
          <w:szCs w:val="24"/>
        </w:rPr>
      </w:pPr>
      <w:r w:rsidRPr="00E768AD">
        <w:rPr>
          <w:rFonts w:cs="Times New Roman"/>
          <w:szCs w:val="24"/>
        </w:rPr>
        <w:t>Molemmat valmentavat koulutukset</w:t>
      </w:r>
      <w:r w:rsidR="00944862" w:rsidRPr="00E768AD">
        <w:rPr>
          <w:rFonts w:cs="Times New Roman"/>
          <w:szCs w:val="24"/>
        </w:rPr>
        <w:t xml:space="preserve"> ovat opintomäärältään 60 osaamis</w:t>
      </w:r>
      <w:r w:rsidRPr="00E768AD">
        <w:rPr>
          <w:rFonts w:cs="Times New Roman"/>
          <w:szCs w:val="24"/>
        </w:rPr>
        <w:t>pistettä</w:t>
      </w:r>
      <w:r w:rsidR="00FB67F8" w:rsidRPr="00E768AD">
        <w:rPr>
          <w:rFonts w:cs="Times New Roman"/>
          <w:szCs w:val="24"/>
        </w:rPr>
        <w:t>. Osaamispisteet kuvastavat ammatillisen tutkinnon laajuutta ja pisteet pohjautuvat EU:n ammatillisen opetuksen siirtojärjestelmään (</w:t>
      </w:r>
      <w:r w:rsidR="0057575A">
        <w:rPr>
          <w:rStyle w:val="Korostus"/>
          <w:rFonts w:cs="Times New Roman"/>
          <w:szCs w:val="24"/>
        </w:rPr>
        <w:t>European Credit S</w:t>
      </w:r>
      <w:r w:rsidR="00FB67F8" w:rsidRPr="00E768AD">
        <w:rPr>
          <w:rStyle w:val="Korostus"/>
          <w:rFonts w:cs="Times New Roman"/>
          <w:szCs w:val="24"/>
        </w:rPr>
        <w:t xml:space="preserve">ystem for Vocational Education and Training). </w:t>
      </w:r>
      <w:r w:rsidR="00837314" w:rsidRPr="00E768AD">
        <w:rPr>
          <w:rFonts w:cs="Times New Roman"/>
          <w:szCs w:val="24"/>
        </w:rPr>
        <w:t>Opintok</w:t>
      </w:r>
      <w:r w:rsidRPr="00E768AD">
        <w:rPr>
          <w:rFonts w:cs="Times New Roman"/>
          <w:szCs w:val="24"/>
        </w:rPr>
        <w:t>okonaisuuden voi muodostaa opiskelijan omien tavoitteiden ja mieltymysten mukaan</w:t>
      </w:r>
      <w:r w:rsidR="00833A1E" w:rsidRPr="00E768AD">
        <w:rPr>
          <w:rFonts w:cs="Times New Roman"/>
          <w:szCs w:val="24"/>
        </w:rPr>
        <w:t xml:space="preserve"> koulutusten perusteiden puitteissa</w:t>
      </w:r>
      <w:r w:rsidRPr="00E768AD">
        <w:rPr>
          <w:rFonts w:cs="Times New Roman"/>
          <w:szCs w:val="24"/>
        </w:rPr>
        <w:t xml:space="preserve">. </w:t>
      </w:r>
      <w:r w:rsidR="00837314" w:rsidRPr="00E768AD">
        <w:rPr>
          <w:rFonts w:cs="Times New Roman"/>
          <w:szCs w:val="24"/>
        </w:rPr>
        <w:t>Opiskelijoiden näkökulmasta valmentavat koulutukset saattavat näyttäytyä mielekkäänä mi</w:t>
      </w:r>
      <w:r w:rsidR="004759B2" w:rsidRPr="00E768AD">
        <w:rPr>
          <w:rFonts w:cs="Times New Roman"/>
          <w:szCs w:val="24"/>
        </w:rPr>
        <w:t>ettimis</w:t>
      </w:r>
      <w:r w:rsidR="009026D8" w:rsidRPr="00E768AD">
        <w:rPr>
          <w:rFonts w:cs="Times New Roman"/>
          <w:szCs w:val="24"/>
        </w:rPr>
        <w:t>paikkana, toisaalta taas opiskelijoiden</w:t>
      </w:r>
      <w:r w:rsidR="004759B2" w:rsidRPr="00E768AD">
        <w:rPr>
          <w:rFonts w:cs="Times New Roman"/>
          <w:szCs w:val="24"/>
        </w:rPr>
        <w:t xml:space="preserve"> omat toiveet jatko-opinnoista saattavat jäädä kuulematta </w:t>
      </w:r>
      <w:r w:rsidR="00564187" w:rsidRPr="00E768AD">
        <w:rPr>
          <w:rFonts w:cs="Times New Roman"/>
          <w:szCs w:val="24"/>
        </w:rPr>
        <w:t>ja koulutuksiin liittyvä kategorisointi</w:t>
      </w:r>
      <w:r w:rsidR="004759B2" w:rsidRPr="00E768AD">
        <w:rPr>
          <w:rFonts w:cs="Times New Roman"/>
          <w:szCs w:val="24"/>
        </w:rPr>
        <w:t xml:space="preserve"> saatetaan kokea leimaavana (Niemi &amp; Kurki 2014).</w:t>
      </w:r>
      <w:r w:rsidR="00564187" w:rsidRPr="00E768AD">
        <w:rPr>
          <w:rFonts w:cs="Times New Roman"/>
          <w:szCs w:val="24"/>
        </w:rPr>
        <w:t xml:space="preserve"> Valmentavien koulutusten uudistus yhdisti aiemmin erillään toimineet neljä valmentavaa tai valmistavaa koulutusta n</w:t>
      </w:r>
      <w:r w:rsidR="0007517F" w:rsidRPr="00E768AD">
        <w:rPr>
          <w:rFonts w:cs="Times New Roman"/>
          <w:szCs w:val="24"/>
        </w:rPr>
        <w:t>ykyiseksi Valma-koulutukseksi. Uudistuksen myötä koulutusta ei siis tarvitse järjestää välttämättä kategorisointien ja niihin liittye</w:t>
      </w:r>
      <w:r w:rsidR="009026D8" w:rsidRPr="00E768AD">
        <w:rPr>
          <w:rFonts w:cs="Times New Roman"/>
          <w:szCs w:val="24"/>
        </w:rPr>
        <w:t>n ennakko-oletusten mukaisesti. Valma-koulutuksen järjestäjille suunnatussa kyselyssä k</w:t>
      </w:r>
      <w:r w:rsidR="0007517F" w:rsidRPr="00E768AD">
        <w:rPr>
          <w:rFonts w:cs="Times New Roman"/>
          <w:szCs w:val="24"/>
        </w:rPr>
        <w:t>oulutuksen järjestäjät kokivat pystyvänsä huomioimaan parhaiten juuri peruskoulusta tulleiden tarpeet</w:t>
      </w:r>
      <w:r w:rsidR="009026D8" w:rsidRPr="00E768AD">
        <w:rPr>
          <w:rFonts w:cs="Times New Roman"/>
          <w:szCs w:val="24"/>
        </w:rPr>
        <w:t>,</w:t>
      </w:r>
      <w:r w:rsidR="0007517F" w:rsidRPr="00E768AD">
        <w:rPr>
          <w:rFonts w:cs="Times New Roman"/>
          <w:szCs w:val="24"/>
        </w:rPr>
        <w:t xml:space="preserve"> kun taas erityistä tukea tarvitsevat ja oppisop</w:t>
      </w:r>
      <w:r w:rsidR="009026D8" w:rsidRPr="00E768AD">
        <w:rPr>
          <w:rFonts w:cs="Times New Roman"/>
          <w:szCs w:val="24"/>
        </w:rPr>
        <w:t>imuskoulutukseen valmentautuvat</w:t>
      </w:r>
      <w:r w:rsidR="0007517F" w:rsidRPr="00E768AD">
        <w:rPr>
          <w:rFonts w:cs="Times New Roman"/>
          <w:szCs w:val="24"/>
        </w:rPr>
        <w:t xml:space="preserve"> heikoiten (Salonsaari &amp; Aunola 2017, 29).</w:t>
      </w:r>
    </w:p>
    <w:p w:rsidR="00833A1E" w:rsidRPr="00E768AD" w:rsidRDefault="00292600" w:rsidP="00E768AD">
      <w:pPr>
        <w:spacing w:line="276" w:lineRule="auto"/>
        <w:jc w:val="both"/>
        <w:rPr>
          <w:rFonts w:cs="Times New Roman"/>
          <w:szCs w:val="24"/>
        </w:rPr>
      </w:pPr>
      <w:r w:rsidRPr="00E768AD">
        <w:rPr>
          <w:rFonts w:cs="Times New Roman"/>
          <w:szCs w:val="24"/>
        </w:rPr>
        <w:t xml:space="preserve">Yhtenä uudistuksen </w:t>
      </w:r>
      <w:r w:rsidR="00DA6DCC" w:rsidRPr="00E768AD">
        <w:rPr>
          <w:rFonts w:cs="Times New Roman"/>
          <w:szCs w:val="24"/>
        </w:rPr>
        <w:t xml:space="preserve">koulutuspoliittisena </w:t>
      </w:r>
      <w:r w:rsidRPr="00E768AD">
        <w:rPr>
          <w:rFonts w:cs="Times New Roman"/>
          <w:szCs w:val="24"/>
        </w:rPr>
        <w:t>tavoitteena oli mahdollistaa joustavat siirtymät jatko-opintoihin tai työelämään</w:t>
      </w:r>
      <w:r w:rsidR="00833A1E" w:rsidRPr="00E768AD">
        <w:rPr>
          <w:rFonts w:cs="Times New Roman"/>
          <w:szCs w:val="24"/>
        </w:rPr>
        <w:t xml:space="preserve"> riittävien valmiuksien </w:t>
      </w:r>
      <w:r w:rsidR="003C5836" w:rsidRPr="00E768AD">
        <w:rPr>
          <w:rFonts w:cs="Times New Roman"/>
          <w:szCs w:val="24"/>
        </w:rPr>
        <w:t>kartuttua.</w:t>
      </w:r>
      <w:r w:rsidR="0095729A" w:rsidRPr="00E768AD">
        <w:rPr>
          <w:rFonts w:cs="Times New Roman"/>
          <w:szCs w:val="24"/>
        </w:rPr>
        <w:t xml:space="preserve"> Tarkoituksena oli myös mahdolli</w:t>
      </w:r>
      <w:r w:rsidR="00DA6DCC" w:rsidRPr="00E768AD">
        <w:rPr>
          <w:rFonts w:cs="Times New Roman"/>
          <w:szCs w:val="24"/>
        </w:rPr>
        <w:t xml:space="preserve">staa siirtyminen valmentaviin koulutuksiin </w:t>
      </w:r>
      <w:r w:rsidR="0095729A" w:rsidRPr="00E768AD">
        <w:rPr>
          <w:rFonts w:cs="Times New Roman"/>
          <w:szCs w:val="24"/>
        </w:rPr>
        <w:t xml:space="preserve">tutkintokoulutuksista ilman välivuotta. </w:t>
      </w:r>
      <w:r w:rsidR="00A52311" w:rsidRPr="00E768AD">
        <w:rPr>
          <w:rFonts w:cs="Times New Roman"/>
          <w:szCs w:val="24"/>
        </w:rPr>
        <w:t>Valma-</w:t>
      </w:r>
      <w:r w:rsidR="003C5836" w:rsidRPr="00E768AD">
        <w:rPr>
          <w:rFonts w:cs="Times New Roman"/>
          <w:szCs w:val="24"/>
        </w:rPr>
        <w:t>koulutuksen järjestäjille suunnatussa kyselyssä monet järjestäjät toivat esiin, että käytännössä koulutuksen niukka perusrahoitus muodostuu esteeksi yksilöllisen tuen ja joustavien siirtymien</w:t>
      </w:r>
      <w:r w:rsidR="00A24B6C" w:rsidRPr="00E768AD">
        <w:rPr>
          <w:rFonts w:cs="Times New Roman"/>
          <w:szCs w:val="24"/>
        </w:rPr>
        <w:t xml:space="preserve"> takaamiseksi</w:t>
      </w:r>
      <w:r w:rsidR="00962224" w:rsidRPr="00E768AD">
        <w:rPr>
          <w:rFonts w:cs="Times New Roman"/>
          <w:szCs w:val="24"/>
        </w:rPr>
        <w:t xml:space="preserve"> (Salonsaari &amp; Aunola 2017, 30).</w:t>
      </w:r>
      <w:r w:rsidR="00B9617D" w:rsidRPr="00E768AD">
        <w:rPr>
          <w:rFonts w:cs="Times New Roman"/>
          <w:szCs w:val="24"/>
        </w:rPr>
        <w:t xml:space="preserve"> </w:t>
      </w:r>
      <w:r w:rsidR="00DA6DCC" w:rsidRPr="00E768AD">
        <w:rPr>
          <w:rFonts w:cs="Times New Roman"/>
          <w:szCs w:val="24"/>
        </w:rPr>
        <w:t xml:space="preserve">Lisäksi ennen 1.8.2015 tapahtunutta uudistusta tehdyssä tutkimuksessa tuotiin esiin, että </w:t>
      </w:r>
      <w:r w:rsidR="004869B8" w:rsidRPr="00E768AD">
        <w:rPr>
          <w:rFonts w:cs="Times New Roman"/>
          <w:szCs w:val="24"/>
        </w:rPr>
        <w:t>opiskelijoiden omat toiv</w:t>
      </w:r>
      <w:r w:rsidR="00B9617D" w:rsidRPr="00E768AD">
        <w:rPr>
          <w:rFonts w:cs="Times New Roman"/>
          <w:szCs w:val="24"/>
        </w:rPr>
        <w:t>eet jatko-opintopaikasta saattavat tulla</w:t>
      </w:r>
      <w:r w:rsidR="004869B8" w:rsidRPr="00E768AD">
        <w:rPr>
          <w:rFonts w:cs="Times New Roman"/>
          <w:szCs w:val="24"/>
        </w:rPr>
        <w:t xml:space="preserve"> sivuutetuiksi</w:t>
      </w:r>
      <w:r w:rsidR="00B9617D" w:rsidRPr="00E768AD">
        <w:rPr>
          <w:rFonts w:cs="Times New Roman"/>
          <w:szCs w:val="24"/>
        </w:rPr>
        <w:t xml:space="preserve"> ohjausprosessissa,</w:t>
      </w:r>
      <w:r w:rsidR="004869B8" w:rsidRPr="00E768AD">
        <w:rPr>
          <w:rFonts w:cs="Times New Roman"/>
          <w:szCs w:val="24"/>
        </w:rPr>
        <w:t xml:space="preserve"> ja opiskelijoita</w:t>
      </w:r>
      <w:r w:rsidR="00B9617D" w:rsidRPr="00E768AD">
        <w:rPr>
          <w:rFonts w:cs="Times New Roman"/>
          <w:szCs w:val="24"/>
        </w:rPr>
        <w:t xml:space="preserve"> päädytään ohjaamaan</w:t>
      </w:r>
      <w:r w:rsidR="004869B8" w:rsidRPr="00E768AD">
        <w:rPr>
          <w:rFonts w:cs="Times New Roman"/>
          <w:szCs w:val="24"/>
        </w:rPr>
        <w:t xml:space="preserve"> ”varmoille” aloille (Niemi &amp; Kurki 2014).</w:t>
      </w:r>
      <w:r w:rsidR="00837C9C" w:rsidRPr="00E768AD">
        <w:rPr>
          <w:rFonts w:cs="Times New Roman"/>
          <w:szCs w:val="24"/>
        </w:rPr>
        <w:tab/>
      </w:r>
    </w:p>
    <w:p w:rsidR="001950D1" w:rsidRPr="00E768AD" w:rsidRDefault="00EF71E6" w:rsidP="00E768AD">
      <w:pPr>
        <w:spacing w:line="276" w:lineRule="auto"/>
        <w:jc w:val="both"/>
        <w:rPr>
          <w:rFonts w:cs="Times New Roman"/>
          <w:szCs w:val="24"/>
        </w:rPr>
      </w:pPr>
      <w:r w:rsidRPr="00E768AD">
        <w:rPr>
          <w:rFonts w:cs="Times New Roman"/>
          <w:szCs w:val="24"/>
        </w:rPr>
        <w:t xml:space="preserve">Oleellista valmentavien koulutusten </w:t>
      </w:r>
      <w:r w:rsidR="00502775" w:rsidRPr="00E768AD">
        <w:rPr>
          <w:rFonts w:cs="Times New Roman"/>
          <w:szCs w:val="24"/>
        </w:rPr>
        <w:t>koulutuspoliittisten tavoitteiden toteutumisen</w:t>
      </w:r>
      <w:r w:rsidRPr="00E768AD">
        <w:rPr>
          <w:rFonts w:cs="Times New Roman"/>
          <w:szCs w:val="24"/>
        </w:rPr>
        <w:t xml:space="preserve"> arvioinnissa</w:t>
      </w:r>
      <w:r w:rsidR="00BF3DEA" w:rsidRPr="00E768AD">
        <w:rPr>
          <w:rFonts w:cs="Times New Roman"/>
          <w:szCs w:val="24"/>
        </w:rPr>
        <w:t xml:space="preserve"> ovat</w:t>
      </w:r>
      <w:r w:rsidRPr="00E768AD">
        <w:rPr>
          <w:rFonts w:cs="Times New Roman"/>
          <w:szCs w:val="24"/>
        </w:rPr>
        <w:t xml:space="preserve"> </w:t>
      </w:r>
      <w:r w:rsidR="006F54AC" w:rsidRPr="00E768AD">
        <w:rPr>
          <w:rFonts w:cs="Times New Roman"/>
          <w:szCs w:val="24"/>
        </w:rPr>
        <w:t xml:space="preserve">opiskelijoiden </w:t>
      </w:r>
      <w:r w:rsidRPr="00E768AD">
        <w:rPr>
          <w:rFonts w:cs="Times New Roman"/>
          <w:szCs w:val="24"/>
        </w:rPr>
        <w:t xml:space="preserve">siirtymät tutkintotavoitteiseen koulutukseen </w:t>
      </w:r>
      <w:r w:rsidR="00BF3DEA" w:rsidRPr="00E768AD">
        <w:rPr>
          <w:rFonts w:cs="Times New Roman"/>
          <w:szCs w:val="24"/>
        </w:rPr>
        <w:t>ja/</w:t>
      </w:r>
      <w:r w:rsidRPr="00E768AD">
        <w:rPr>
          <w:rFonts w:cs="Times New Roman"/>
          <w:szCs w:val="24"/>
        </w:rPr>
        <w:t>tai työelämään</w:t>
      </w:r>
      <w:r w:rsidR="00BF3DEA" w:rsidRPr="00E768AD">
        <w:rPr>
          <w:rFonts w:cs="Times New Roman"/>
          <w:szCs w:val="24"/>
        </w:rPr>
        <w:t xml:space="preserve">. Opetushallitus </w:t>
      </w:r>
      <w:r w:rsidR="00A52311" w:rsidRPr="00E768AD">
        <w:rPr>
          <w:rFonts w:cs="Times New Roman"/>
          <w:szCs w:val="24"/>
        </w:rPr>
        <w:t>toteutti sähköisen kyselyn Valma</w:t>
      </w:r>
      <w:r w:rsidR="00BF3DEA" w:rsidRPr="00E768AD">
        <w:rPr>
          <w:rFonts w:cs="Times New Roman"/>
          <w:szCs w:val="24"/>
        </w:rPr>
        <w:t>-koulutuksen järjestäjille lukuvuoden 2015–2016 jälkeen, joka oli ensimmäinen vuosi</w:t>
      </w:r>
      <w:r w:rsidR="00586558" w:rsidRPr="00E768AD">
        <w:rPr>
          <w:rFonts w:cs="Times New Roman"/>
          <w:szCs w:val="24"/>
        </w:rPr>
        <w:t xml:space="preserve"> valmentavien koulutusten</w:t>
      </w:r>
      <w:r w:rsidR="00BF3DEA" w:rsidRPr="00E768AD">
        <w:rPr>
          <w:rFonts w:cs="Times New Roman"/>
          <w:szCs w:val="24"/>
        </w:rPr>
        <w:t xml:space="preserve"> uudistuksen jälkeen.</w:t>
      </w:r>
      <w:r w:rsidR="00586558" w:rsidRPr="00E768AD">
        <w:rPr>
          <w:rFonts w:cs="Times New Roman"/>
          <w:szCs w:val="24"/>
        </w:rPr>
        <w:t xml:space="preserve"> Kyselyssä </w:t>
      </w:r>
      <w:r w:rsidR="00A52311" w:rsidRPr="00E768AD">
        <w:rPr>
          <w:rFonts w:cs="Times New Roman"/>
          <w:szCs w:val="24"/>
        </w:rPr>
        <w:t>Valma</w:t>
      </w:r>
      <w:r w:rsidR="00586558" w:rsidRPr="00E768AD">
        <w:rPr>
          <w:rFonts w:cs="Times New Roman"/>
          <w:szCs w:val="24"/>
        </w:rPr>
        <w:t>-koulutuksen osin s</w:t>
      </w:r>
      <w:r w:rsidR="002F7617" w:rsidRPr="00E768AD">
        <w:rPr>
          <w:rFonts w:cs="Times New Roman"/>
          <w:szCs w:val="24"/>
        </w:rPr>
        <w:t xml:space="preserve">uorittaneista </w:t>
      </w:r>
      <w:r w:rsidR="00586558" w:rsidRPr="00E768AD">
        <w:rPr>
          <w:rFonts w:cs="Times New Roman"/>
          <w:szCs w:val="24"/>
        </w:rPr>
        <w:t xml:space="preserve">30 prosenttia siirtyi suorittamaan ammatillista perustutkintoa, </w:t>
      </w:r>
      <w:r w:rsidR="006F54AC" w:rsidRPr="00E768AD">
        <w:rPr>
          <w:rFonts w:cs="Times New Roman"/>
          <w:szCs w:val="24"/>
        </w:rPr>
        <w:t xml:space="preserve">15 prosenttia </w:t>
      </w:r>
      <w:r w:rsidR="00586558" w:rsidRPr="00E768AD">
        <w:rPr>
          <w:rFonts w:cs="Times New Roman"/>
          <w:szCs w:val="24"/>
        </w:rPr>
        <w:t>oppisopimuskoulutukseen, 4 prosenttia muuhun koulutukseen ja 20 prosenttia ”ei mihinkään koulutukseen”</w:t>
      </w:r>
      <w:r w:rsidR="002F7617" w:rsidRPr="00E768AD">
        <w:rPr>
          <w:rFonts w:cs="Times New Roman"/>
          <w:szCs w:val="24"/>
        </w:rPr>
        <w:t>.</w:t>
      </w:r>
      <w:r w:rsidR="00A52311" w:rsidRPr="00E768AD">
        <w:rPr>
          <w:rFonts w:cs="Times New Roman"/>
          <w:szCs w:val="24"/>
        </w:rPr>
        <w:t xml:space="preserve"> Valma</w:t>
      </w:r>
      <w:r w:rsidR="00944085" w:rsidRPr="00E768AD">
        <w:rPr>
          <w:rFonts w:cs="Times New Roman"/>
          <w:szCs w:val="24"/>
        </w:rPr>
        <w:t>-koulutuksen kokonaan suorittaneista taas 54 prosenttia siirtyi suorittamaan ammatillista tutkintoa joko oman tai muun koulutuksen järjestäjän koulutukseen tai oppisopimuskoulutukseen, 6 prosenttia muuhun koulutukseen, 4 prosenttia työelämään, 4 prosenttia muuhun toimintaan ja 9 prosentin jatkopaikasta ei saatu tietoa.</w:t>
      </w:r>
      <w:r w:rsidR="00E54296" w:rsidRPr="00E768AD">
        <w:rPr>
          <w:rFonts w:cs="Times New Roman"/>
          <w:szCs w:val="24"/>
        </w:rPr>
        <w:t xml:space="preserve"> (Salonsaari &amp; Aunola 2017.)</w:t>
      </w:r>
      <w:r w:rsidR="00033F7B" w:rsidRPr="00E768AD">
        <w:rPr>
          <w:rFonts w:cs="Times New Roman"/>
          <w:szCs w:val="24"/>
        </w:rPr>
        <w:t xml:space="preserve"> Kaikkien opiskelijoiden siirtymistä ei saatu tietoa, sillä koulutuksen järjestäjät eivät olleet varautuneet sitä keräämään.</w:t>
      </w:r>
    </w:p>
    <w:p w:rsidR="00387FC1" w:rsidRPr="00E768AD" w:rsidRDefault="00387FC1" w:rsidP="00E768AD">
      <w:pPr>
        <w:spacing w:line="276" w:lineRule="auto"/>
        <w:jc w:val="both"/>
        <w:rPr>
          <w:rFonts w:cs="Times New Roman"/>
          <w:szCs w:val="24"/>
        </w:rPr>
      </w:pPr>
    </w:p>
    <w:p w:rsidR="00387FC1" w:rsidRPr="00E768AD" w:rsidRDefault="00A16566" w:rsidP="00E768AD">
      <w:pPr>
        <w:spacing w:line="276" w:lineRule="auto"/>
        <w:jc w:val="both"/>
        <w:rPr>
          <w:rFonts w:cs="Times New Roman"/>
          <w:szCs w:val="24"/>
        </w:rPr>
      </w:pPr>
      <w:r w:rsidRPr="00E768AD">
        <w:rPr>
          <w:rFonts w:cs="Times New Roman"/>
          <w:szCs w:val="24"/>
        </w:rPr>
        <w:lastRenderedPageBreak/>
        <w:t xml:space="preserve">Opetus- ja kulttuuriministeriö (OKM 2016) käynnisti loppuvuonna 2015 selvityksen vaikeimmin vammaisten erityisopetuksen tarpeesta ja koulutuksen saatavuudesta. Kysely suunnattiin erityisopetuksen erityisen koulutustehtävän saaneiden VALMA- ja TELMA-koulutusten järjestäjille. </w:t>
      </w:r>
      <w:r w:rsidR="007A4980" w:rsidRPr="00E768AD">
        <w:rPr>
          <w:rFonts w:cs="Times New Roman"/>
          <w:szCs w:val="24"/>
        </w:rPr>
        <w:t xml:space="preserve">Siirtymät TELMA-koulutuksesta VALMA-koulutukseen tai tutkintotavoitteiseen </w:t>
      </w:r>
      <w:r w:rsidR="00EE5D4C" w:rsidRPr="00E768AD">
        <w:rPr>
          <w:rFonts w:cs="Times New Roman"/>
          <w:szCs w:val="24"/>
        </w:rPr>
        <w:t>olivat</w:t>
      </w:r>
      <w:r w:rsidR="005C0FCE" w:rsidRPr="00E768AD">
        <w:rPr>
          <w:rFonts w:cs="Times New Roman"/>
          <w:szCs w:val="24"/>
        </w:rPr>
        <w:t xml:space="preserve"> keskimäärin</w:t>
      </w:r>
      <w:r w:rsidR="007A4980" w:rsidRPr="00E768AD">
        <w:rPr>
          <w:rFonts w:cs="Times New Roman"/>
          <w:szCs w:val="24"/>
        </w:rPr>
        <w:t xml:space="preserve"> 10 prosenttia, mutta </w:t>
      </w:r>
      <w:r w:rsidR="005C0FCE" w:rsidRPr="00E768AD">
        <w:rPr>
          <w:rFonts w:cs="Times New Roman"/>
          <w:szCs w:val="24"/>
        </w:rPr>
        <w:t xml:space="preserve">osuudet </w:t>
      </w:r>
      <w:r w:rsidR="007A4980" w:rsidRPr="00E768AD">
        <w:rPr>
          <w:rFonts w:cs="Times New Roman"/>
          <w:szCs w:val="24"/>
        </w:rPr>
        <w:t>vaihteliv</w:t>
      </w:r>
      <w:r w:rsidR="00EE5D4C" w:rsidRPr="00E768AD">
        <w:rPr>
          <w:rFonts w:cs="Times New Roman"/>
          <w:szCs w:val="24"/>
        </w:rPr>
        <w:t>at koulutuksen järjestäjittäin</w:t>
      </w:r>
      <w:r w:rsidR="008C434F" w:rsidRPr="00E768AD">
        <w:rPr>
          <w:rFonts w:cs="Times New Roman"/>
          <w:szCs w:val="24"/>
        </w:rPr>
        <w:t xml:space="preserve"> (OKM 2016, 25–26).</w:t>
      </w:r>
      <w:r w:rsidR="00AB3622" w:rsidRPr="00E768AD">
        <w:rPr>
          <w:rFonts w:cs="Times New Roman"/>
          <w:szCs w:val="24"/>
        </w:rPr>
        <w:t xml:space="preserve"> </w:t>
      </w:r>
      <w:r w:rsidR="004B4091" w:rsidRPr="00E768AD">
        <w:rPr>
          <w:rFonts w:cs="Times New Roman"/>
          <w:szCs w:val="24"/>
        </w:rPr>
        <w:t xml:space="preserve">Koulutuksen saavutettavuuden esteeksi </w:t>
      </w:r>
      <w:r w:rsidR="005C0FCE" w:rsidRPr="00E768AD">
        <w:rPr>
          <w:rFonts w:cs="Times New Roman"/>
          <w:szCs w:val="24"/>
        </w:rPr>
        <w:t xml:space="preserve">koulutuksen järjestävät </w:t>
      </w:r>
      <w:r w:rsidR="004B4091" w:rsidRPr="00E768AD">
        <w:rPr>
          <w:rFonts w:cs="Times New Roman"/>
          <w:szCs w:val="24"/>
        </w:rPr>
        <w:t>mainitsivat</w:t>
      </w:r>
      <w:r w:rsidR="005C0FCE" w:rsidRPr="00E768AD">
        <w:rPr>
          <w:rFonts w:cs="Times New Roman"/>
          <w:szCs w:val="24"/>
        </w:rPr>
        <w:t xml:space="preserve"> </w:t>
      </w:r>
      <w:r w:rsidR="003F4579" w:rsidRPr="00E768AD">
        <w:rPr>
          <w:rFonts w:cs="Times New Roman"/>
          <w:szCs w:val="24"/>
        </w:rPr>
        <w:t xml:space="preserve">muun muassa </w:t>
      </w:r>
      <w:r w:rsidR="005C0FCE" w:rsidRPr="00E768AD">
        <w:rPr>
          <w:rFonts w:cs="Times New Roman"/>
          <w:szCs w:val="24"/>
        </w:rPr>
        <w:t>kou</w:t>
      </w:r>
      <w:r w:rsidR="004B4091" w:rsidRPr="00E768AD">
        <w:rPr>
          <w:rFonts w:cs="Times New Roman"/>
          <w:szCs w:val="24"/>
        </w:rPr>
        <w:t>lutuspaikkojen sijainnin</w:t>
      </w:r>
      <w:r w:rsidR="005C0FCE" w:rsidRPr="00E768AD">
        <w:rPr>
          <w:rFonts w:cs="Times New Roman"/>
          <w:szCs w:val="24"/>
        </w:rPr>
        <w:t xml:space="preserve"> ja asu</w:t>
      </w:r>
      <w:r w:rsidR="004B4091" w:rsidRPr="00E768AD">
        <w:rPr>
          <w:rFonts w:cs="Times New Roman"/>
          <w:szCs w:val="24"/>
        </w:rPr>
        <w:t>mismahdollisuudet. Tällaisissa tilanteissa</w:t>
      </w:r>
      <w:r w:rsidR="00923C6A" w:rsidRPr="00E768AD">
        <w:rPr>
          <w:rFonts w:cs="Times New Roman"/>
          <w:szCs w:val="24"/>
        </w:rPr>
        <w:t xml:space="preserve"> muuhun koulutukseen valitsematta jääneitä</w:t>
      </w:r>
      <w:r w:rsidR="004B4091" w:rsidRPr="00E768AD">
        <w:rPr>
          <w:rFonts w:cs="Times New Roman"/>
          <w:szCs w:val="24"/>
        </w:rPr>
        <w:t xml:space="preserve"> </w:t>
      </w:r>
      <w:r w:rsidR="00923C6A" w:rsidRPr="00E768AD">
        <w:rPr>
          <w:rFonts w:cs="Times New Roman"/>
          <w:szCs w:val="24"/>
        </w:rPr>
        <w:t>opiskelijoita ohjataan</w:t>
      </w:r>
      <w:r w:rsidR="006E063A" w:rsidRPr="00E768AD">
        <w:rPr>
          <w:rFonts w:cs="Times New Roman"/>
          <w:szCs w:val="24"/>
        </w:rPr>
        <w:t xml:space="preserve"> koulutuksen järjestäjien mukaan</w:t>
      </w:r>
      <w:r w:rsidR="00923C6A" w:rsidRPr="00E768AD">
        <w:rPr>
          <w:rFonts w:cs="Times New Roman"/>
          <w:szCs w:val="24"/>
        </w:rPr>
        <w:t xml:space="preserve"> useimmiten</w:t>
      </w:r>
      <w:r w:rsidR="009828CF" w:rsidRPr="00E768AD">
        <w:rPr>
          <w:rFonts w:cs="Times New Roman"/>
          <w:szCs w:val="24"/>
        </w:rPr>
        <w:t xml:space="preserve"> kuntien työ- ja päivätoimintakeskukseen</w:t>
      </w:r>
      <w:r w:rsidR="00621FD1" w:rsidRPr="00E768AD">
        <w:rPr>
          <w:rFonts w:cs="Times New Roman"/>
          <w:szCs w:val="24"/>
        </w:rPr>
        <w:t>.</w:t>
      </w:r>
      <w:r w:rsidR="004B4091" w:rsidRPr="00E768AD">
        <w:rPr>
          <w:rFonts w:cs="Times New Roman"/>
          <w:szCs w:val="24"/>
        </w:rPr>
        <w:t xml:space="preserve"> (OKM 2016, </w:t>
      </w:r>
      <w:r w:rsidR="00621FD1" w:rsidRPr="00E768AD">
        <w:rPr>
          <w:rFonts w:cs="Times New Roman"/>
          <w:szCs w:val="24"/>
        </w:rPr>
        <w:t>43.)</w:t>
      </w:r>
    </w:p>
    <w:p w:rsidR="00324A0C" w:rsidRPr="00E768AD" w:rsidRDefault="00B97A24" w:rsidP="00E768AD">
      <w:pPr>
        <w:spacing w:line="276" w:lineRule="auto"/>
        <w:jc w:val="both"/>
        <w:rPr>
          <w:rFonts w:cs="Times New Roman"/>
          <w:szCs w:val="24"/>
        </w:rPr>
      </w:pPr>
      <w:r w:rsidRPr="00E768AD">
        <w:rPr>
          <w:rFonts w:cs="Times New Roman"/>
          <w:szCs w:val="24"/>
        </w:rPr>
        <w:t>Valmentavien koulutusten opiskelijavalinta tapahtuu ammatillista koulutusta koskevan lain (531/2017) perusehtojen mukaan. Tarkemmista kriteereistä päättää kuitenkin koulutuksen järjestäjä. Erityisesti Telma-koulutusta koskevassa selvityksessä suuri osa peruskoulutuksen järjestäjistä toi esiin, että heillä ei ollut tietoa oppilaan valitsematta jättä</w:t>
      </w:r>
      <w:r w:rsidR="0024655E" w:rsidRPr="00E768AD">
        <w:rPr>
          <w:rFonts w:cs="Times New Roman"/>
          <w:szCs w:val="24"/>
        </w:rPr>
        <w:t>misen perusteista (OKM 2016, 6).</w:t>
      </w:r>
    </w:p>
    <w:p w:rsidR="00DA082E" w:rsidRPr="00E768AD" w:rsidRDefault="00035752" w:rsidP="00E768AD">
      <w:pPr>
        <w:spacing w:line="276" w:lineRule="auto"/>
        <w:jc w:val="both"/>
        <w:rPr>
          <w:rFonts w:cs="Times New Roman"/>
          <w:szCs w:val="24"/>
        </w:rPr>
      </w:pPr>
      <w:r w:rsidRPr="00E768AD">
        <w:rPr>
          <w:rFonts w:cs="Times New Roman"/>
          <w:szCs w:val="24"/>
        </w:rPr>
        <w:br w:type="page"/>
      </w:r>
    </w:p>
    <w:p w:rsidR="00035752" w:rsidRPr="00E768AD" w:rsidRDefault="00AB293C" w:rsidP="00E768AD">
      <w:pPr>
        <w:pStyle w:val="Otsikko2"/>
        <w:spacing w:line="276" w:lineRule="auto"/>
        <w:jc w:val="both"/>
        <w:rPr>
          <w:rFonts w:cs="Times New Roman"/>
          <w:sz w:val="24"/>
          <w:szCs w:val="24"/>
        </w:rPr>
      </w:pPr>
      <w:bookmarkStart w:id="0" w:name="_Toc527095060"/>
      <w:r w:rsidRPr="00E768AD">
        <w:rPr>
          <w:rFonts w:cs="Times New Roman"/>
          <w:sz w:val="24"/>
          <w:szCs w:val="24"/>
        </w:rPr>
        <w:lastRenderedPageBreak/>
        <w:t>Tilastot ja trendit</w:t>
      </w:r>
      <w:bookmarkEnd w:id="0"/>
    </w:p>
    <w:p w:rsidR="00716ECC" w:rsidRPr="00E768AD" w:rsidRDefault="00716ECC" w:rsidP="00E768AD">
      <w:pPr>
        <w:spacing w:line="276" w:lineRule="auto"/>
        <w:jc w:val="both"/>
        <w:rPr>
          <w:rFonts w:cs="Times New Roman"/>
          <w:szCs w:val="24"/>
        </w:rPr>
      </w:pPr>
    </w:p>
    <w:p w:rsidR="00716ECC" w:rsidRPr="00E768AD" w:rsidRDefault="00716ECC" w:rsidP="00E768AD">
      <w:pPr>
        <w:spacing w:line="276" w:lineRule="auto"/>
        <w:jc w:val="both"/>
        <w:rPr>
          <w:rFonts w:cs="Times New Roman"/>
          <w:szCs w:val="24"/>
        </w:rPr>
      </w:pPr>
      <w:r w:rsidRPr="00E768AD">
        <w:rPr>
          <w:rFonts w:cs="Times New Roman"/>
          <w:szCs w:val="24"/>
        </w:rPr>
        <w:t xml:space="preserve">Ammatillisen erityisopetuksen tilastotarkastelussa keskitymme ammatillisen erityisopetuksen opiskelijamäärien muutokseen,  opiskelijoille annettavien ammatillisen erityisopetuksen perusteiden muutokseen sekä VALMA:n ja TELMA:n opiskelijamäärien muutokseen. Tarkasteluajanjakso on 2010-luvulta, mutta se vaihtelee hiukan näissä kolmessa </w:t>
      </w:r>
      <w:r w:rsidR="00B50AE5" w:rsidRPr="00E768AD">
        <w:rPr>
          <w:rFonts w:cs="Times New Roman"/>
          <w:szCs w:val="24"/>
        </w:rPr>
        <w:t>tilastossa. Keskeistä tarkastelussa on trendien tunnistaminen. Ei niinkään yksittäinen tilastoitu vuositarkastelu.</w:t>
      </w:r>
    </w:p>
    <w:p w:rsidR="00063258" w:rsidRPr="00E768AD" w:rsidRDefault="00063258" w:rsidP="00E768AD">
      <w:pPr>
        <w:spacing w:line="276" w:lineRule="auto"/>
        <w:jc w:val="both"/>
        <w:rPr>
          <w:rFonts w:cs="Times New Roman"/>
          <w:szCs w:val="24"/>
        </w:rPr>
      </w:pPr>
    </w:p>
    <w:p w:rsidR="003A4ACA" w:rsidRPr="00E768AD" w:rsidRDefault="003A510A" w:rsidP="00E768AD">
      <w:pPr>
        <w:spacing w:line="276" w:lineRule="auto"/>
        <w:jc w:val="both"/>
        <w:rPr>
          <w:rFonts w:cs="Times New Roman"/>
          <w:szCs w:val="24"/>
        </w:rPr>
      </w:pPr>
      <w:r w:rsidRPr="00E768AD">
        <w:rPr>
          <w:rFonts w:cs="Times New Roman"/>
          <w:noProof/>
          <w:szCs w:val="24"/>
          <w:lang w:eastAsia="fi-FI"/>
        </w:rPr>
        <w:drawing>
          <wp:inline distT="0" distB="0" distL="0" distR="0" wp14:anchorId="7990CBF4" wp14:editId="42ED517E">
            <wp:extent cx="4605867" cy="2743200"/>
            <wp:effectExtent l="0" t="0" r="23495" b="19050"/>
            <wp:docPr id="1" name="Kaavi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639AF" w:rsidRPr="00E768AD" w:rsidRDefault="003A510A" w:rsidP="00E768AD">
      <w:pPr>
        <w:pStyle w:val="Kirjallisuusluettelo"/>
        <w:spacing w:line="276" w:lineRule="auto"/>
        <w:jc w:val="both"/>
        <w:rPr>
          <w:rFonts w:cs="Times New Roman"/>
          <w:noProof/>
          <w:szCs w:val="24"/>
          <w:lang w:eastAsia="fi-FI"/>
        </w:rPr>
      </w:pPr>
      <w:r w:rsidRPr="00E768AD">
        <w:rPr>
          <w:rFonts w:cs="Times New Roman"/>
          <w:b/>
          <w:noProof/>
          <w:szCs w:val="24"/>
          <w:lang w:eastAsia="fi-FI"/>
        </w:rPr>
        <w:t>Kuvio 1.</w:t>
      </w:r>
      <w:r w:rsidRPr="00E768AD">
        <w:rPr>
          <w:rFonts w:cs="Times New Roman"/>
          <w:noProof/>
          <w:szCs w:val="24"/>
          <w:lang w:eastAsia="fi-FI"/>
        </w:rPr>
        <w:t xml:space="preserve"> </w:t>
      </w:r>
      <w:r w:rsidR="00030916" w:rsidRPr="00E768AD">
        <w:rPr>
          <w:rFonts w:cs="Times New Roman"/>
          <w:noProof/>
          <w:szCs w:val="24"/>
          <w:lang w:eastAsia="fi-FI"/>
        </w:rPr>
        <w:t>Ammatillisen erityisopetuksen opiskelijat ja erityisoppilaitosten opiskelijat (Tilastokeskus: erityisopetuksen tilastot 2017).</w:t>
      </w:r>
    </w:p>
    <w:p w:rsidR="00A9689D" w:rsidRPr="00E768AD" w:rsidRDefault="00A9689D" w:rsidP="00E768AD">
      <w:pPr>
        <w:pStyle w:val="Kirjallisuusluettelo"/>
        <w:spacing w:line="276" w:lineRule="auto"/>
        <w:jc w:val="both"/>
        <w:rPr>
          <w:rFonts w:cs="Times New Roman"/>
          <w:noProof/>
          <w:szCs w:val="24"/>
          <w:lang w:eastAsia="fi-FI"/>
        </w:rPr>
      </w:pPr>
    </w:p>
    <w:p w:rsidR="00A9689D" w:rsidRPr="00E768AD" w:rsidRDefault="00A9689D" w:rsidP="00E768AD">
      <w:pPr>
        <w:pStyle w:val="Kirjallisuusluettelo"/>
        <w:spacing w:line="276" w:lineRule="auto"/>
        <w:jc w:val="both"/>
        <w:rPr>
          <w:rFonts w:cs="Times New Roman"/>
          <w:szCs w:val="24"/>
        </w:rPr>
      </w:pPr>
      <w:r w:rsidRPr="00E768AD">
        <w:rPr>
          <w:rFonts w:cs="Times New Roman"/>
          <w:noProof/>
          <w:szCs w:val="24"/>
          <w:lang w:eastAsia="fi-FI"/>
        </w:rPr>
        <w:t xml:space="preserve">Kuviosta 1. havaitaan, että </w:t>
      </w:r>
      <w:r w:rsidRPr="00E768AD">
        <w:rPr>
          <w:rFonts w:cs="Times New Roman"/>
          <w:szCs w:val="24"/>
        </w:rPr>
        <w:t>erityisopetusta saavien opiskelijoiden määrä on lisääntynyt jatkuvasti yleisissä ammatillisissa oppilaitoksissa. Tämä suuntaus on inklusiivisen koulutusideologian mukaista muutosta. Samalla kuitenkin yleisissä ammatillisissa oppilaitoksissa toteutettava ammatillinen erityisopetus tarvi</w:t>
      </w:r>
      <w:r w:rsidR="000F23DD" w:rsidRPr="00E768AD">
        <w:rPr>
          <w:rFonts w:cs="Times New Roman"/>
          <w:szCs w:val="24"/>
        </w:rPr>
        <w:t>t</w:t>
      </w:r>
      <w:r w:rsidRPr="00E768AD">
        <w:rPr>
          <w:rFonts w:cs="Times New Roman"/>
          <w:szCs w:val="24"/>
        </w:rPr>
        <w:t xml:space="preserve">sisi lisää erityisopetuksellisia resursseja opetus- ja muussa henkilöstössään, saavutettavaa ja esteetöntä </w:t>
      </w:r>
      <w:r w:rsidRPr="00E768AD">
        <w:rPr>
          <w:rFonts w:cs="Times New Roman"/>
          <w:szCs w:val="24"/>
        </w:rPr>
        <w:lastRenderedPageBreak/>
        <w:t xml:space="preserve">opiskeluympäristöä sekä riittäviä muita tukipalveluita. Tukipalveluiden </w:t>
      </w:r>
      <w:r w:rsidR="000F23DD" w:rsidRPr="00E768AD">
        <w:rPr>
          <w:rFonts w:cs="Times New Roman"/>
          <w:szCs w:val="24"/>
        </w:rPr>
        <w:t xml:space="preserve">sisällöllinen </w:t>
      </w:r>
      <w:r w:rsidRPr="00E768AD">
        <w:rPr>
          <w:rFonts w:cs="Times New Roman"/>
          <w:szCs w:val="24"/>
        </w:rPr>
        <w:t>tarve voi jossain määrin näyttäytyä</w:t>
      </w:r>
      <w:r w:rsidR="00830400" w:rsidRPr="00E768AD">
        <w:rPr>
          <w:rFonts w:cs="Times New Roman"/>
          <w:szCs w:val="24"/>
        </w:rPr>
        <w:t xml:space="preserve"> erityisopetuksen </w:t>
      </w:r>
      <w:r w:rsidR="0032410B" w:rsidRPr="00E768AD">
        <w:rPr>
          <w:rFonts w:cs="Times New Roman"/>
          <w:szCs w:val="24"/>
        </w:rPr>
        <w:t>perusteen/</w:t>
      </w:r>
      <w:r w:rsidR="00830400" w:rsidRPr="00E768AD">
        <w:rPr>
          <w:rFonts w:cs="Times New Roman"/>
          <w:szCs w:val="24"/>
        </w:rPr>
        <w:t>syyn</w:t>
      </w:r>
      <w:r w:rsidRPr="00E768AD">
        <w:rPr>
          <w:rFonts w:cs="Times New Roman"/>
          <w:szCs w:val="24"/>
        </w:rPr>
        <w:t xml:space="preserve"> kautta</w:t>
      </w:r>
      <w:r w:rsidR="00830400" w:rsidRPr="00E768AD">
        <w:rPr>
          <w:rFonts w:cs="Times New Roman"/>
          <w:szCs w:val="24"/>
        </w:rPr>
        <w:t>.</w:t>
      </w:r>
    </w:p>
    <w:p w:rsidR="00B61581" w:rsidRPr="00E768AD" w:rsidRDefault="0032410B" w:rsidP="00E768AD">
      <w:pPr>
        <w:spacing w:line="276" w:lineRule="auto"/>
        <w:jc w:val="both"/>
        <w:rPr>
          <w:rFonts w:cs="Times New Roman"/>
          <w:szCs w:val="24"/>
        </w:rPr>
      </w:pPr>
      <w:r w:rsidRPr="00E768AD">
        <w:rPr>
          <w:rFonts w:cs="Times New Roman"/>
          <w:szCs w:val="24"/>
        </w:rPr>
        <w:t xml:space="preserve">Keskeisimmät ammatillisen erityisopetuksen perusteet/syyt </w:t>
      </w:r>
      <w:r w:rsidR="00636A81" w:rsidRPr="00E768AD">
        <w:rPr>
          <w:rFonts w:cs="Times New Roman"/>
          <w:szCs w:val="24"/>
        </w:rPr>
        <w:t xml:space="preserve">erityisammattioppilaitoksissa </w:t>
      </w:r>
      <w:r w:rsidRPr="00E768AD">
        <w:rPr>
          <w:rFonts w:cs="Times New Roman"/>
          <w:szCs w:val="24"/>
        </w:rPr>
        <w:t>ovat olleet vuosina 2009-2017 laajat oppimisvaikeudet, mielenterveyden ongelmat, hahmottamisen, tarkkavaisuuden ja keskittymisen ongelmat sekä kielelliset vaikeudet</w:t>
      </w:r>
      <w:r w:rsidR="000E5FAA" w:rsidRPr="00E768AD">
        <w:rPr>
          <w:rFonts w:cs="Times New Roman"/>
          <w:szCs w:val="24"/>
        </w:rPr>
        <w:t xml:space="preserve"> (taulukko 1.)</w:t>
      </w:r>
      <w:r w:rsidRPr="00E768AD">
        <w:rPr>
          <w:rFonts w:cs="Times New Roman"/>
          <w:szCs w:val="24"/>
        </w:rPr>
        <w:t>. Ny</w:t>
      </w:r>
      <w:r w:rsidR="00FF663A" w:rsidRPr="00E768AD">
        <w:rPr>
          <w:rFonts w:cs="Times New Roman"/>
          <w:szCs w:val="24"/>
        </w:rPr>
        <w:t>t näyttääkin tilastodatan pohja</w:t>
      </w:r>
      <w:r w:rsidRPr="00E768AD">
        <w:rPr>
          <w:rFonts w:cs="Times New Roman"/>
          <w:szCs w:val="24"/>
        </w:rPr>
        <w:t>lta tarkasteltuna siltä</w:t>
      </w:r>
      <w:r w:rsidR="00FF663A" w:rsidRPr="00E768AD">
        <w:rPr>
          <w:rFonts w:cs="Times New Roman"/>
          <w:szCs w:val="24"/>
        </w:rPr>
        <w:t>, että</w:t>
      </w:r>
      <w:r w:rsidRPr="00E768AD">
        <w:rPr>
          <w:rFonts w:cs="Times New Roman"/>
          <w:szCs w:val="24"/>
        </w:rPr>
        <w:t xml:space="preserve"> </w:t>
      </w:r>
      <w:r w:rsidR="002A5EA1" w:rsidRPr="00E768AD">
        <w:rPr>
          <w:rFonts w:cs="Times New Roman"/>
          <w:szCs w:val="24"/>
        </w:rPr>
        <w:t xml:space="preserve">¾ erityisammattioppilaitoksissa opiskelevilla opiskelijoilla on nämä mainitut erityisopetuksen perusteet/syyt. </w:t>
      </w:r>
      <w:r w:rsidR="00B61581" w:rsidRPr="00E768AD">
        <w:rPr>
          <w:rFonts w:cs="Times New Roman"/>
          <w:szCs w:val="24"/>
        </w:rPr>
        <w:t xml:space="preserve">(Ks. myös Hakala ym. 2013.) Erityisopetuksen peruste on </w:t>
      </w:r>
      <w:r w:rsidR="000E5FAA" w:rsidRPr="00E768AD">
        <w:rPr>
          <w:rFonts w:cs="Times New Roman"/>
          <w:szCs w:val="24"/>
        </w:rPr>
        <w:t xml:space="preserve">kuitenkin </w:t>
      </w:r>
      <w:r w:rsidR="00B61581" w:rsidRPr="00E768AD">
        <w:rPr>
          <w:rFonts w:cs="Times New Roman"/>
          <w:szCs w:val="24"/>
        </w:rPr>
        <w:t xml:space="preserve">jäänyt pois jo tilastoinnista ja vuoden 2017 tiedot ovat viimeisimmät, jotka on tuotettu. Uuteen Koski-palveluun ei sisälly </w:t>
      </w:r>
      <w:r w:rsidR="00711475" w:rsidRPr="00E768AD">
        <w:rPr>
          <w:rFonts w:cs="Times New Roman"/>
          <w:szCs w:val="24"/>
        </w:rPr>
        <w:t>näitä tietoja</w:t>
      </w:r>
      <w:r w:rsidR="00B61581" w:rsidRPr="00E768AD">
        <w:rPr>
          <w:rFonts w:cs="Times New Roman"/>
          <w:szCs w:val="24"/>
        </w:rPr>
        <w:t>.</w:t>
      </w:r>
    </w:p>
    <w:p w:rsidR="0032410B" w:rsidRPr="00E768AD" w:rsidRDefault="0032410B" w:rsidP="00E768AD">
      <w:pPr>
        <w:pStyle w:val="Kirjallisuusluettelo"/>
        <w:spacing w:line="276" w:lineRule="auto"/>
        <w:jc w:val="both"/>
        <w:rPr>
          <w:rFonts w:cs="Times New Roman"/>
          <w:szCs w:val="24"/>
        </w:rPr>
      </w:pPr>
    </w:p>
    <w:tbl>
      <w:tblPr>
        <w:tblW w:w="13120" w:type="dxa"/>
        <w:tblInd w:w="55" w:type="dxa"/>
        <w:tblCellMar>
          <w:left w:w="70" w:type="dxa"/>
          <w:right w:w="70" w:type="dxa"/>
        </w:tblCellMar>
        <w:tblLook w:val="04A0" w:firstRow="1" w:lastRow="0" w:firstColumn="1" w:lastColumn="0" w:noHBand="0" w:noVBand="1"/>
      </w:tblPr>
      <w:tblGrid>
        <w:gridCol w:w="3520"/>
        <w:gridCol w:w="960"/>
        <w:gridCol w:w="960"/>
        <w:gridCol w:w="960"/>
        <w:gridCol w:w="960"/>
        <w:gridCol w:w="960"/>
        <w:gridCol w:w="960"/>
        <w:gridCol w:w="960"/>
        <w:gridCol w:w="960"/>
        <w:gridCol w:w="960"/>
        <w:gridCol w:w="960"/>
      </w:tblGrid>
      <w:tr w:rsidR="00636A81" w:rsidRPr="00E768AD" w:rsidTr="00636A81">
        <w:trPr>
          <w:trHeight w:val="289"/>
        </w:trPr>
        <w:tc>
          <w:tcPr>
            <w:tcW w:w="3520" w:type="dxa"/>
            <w:tcBorders>
              <w:top w:val="single" w:sz="8" w:space="0" w:color="C1C1C1"/>
              <w:left w:val="single" w:sz="8" w:space="0" w:color="C1C1C1"/>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b/>
                <w:bCs/>
                <w:color w:val="000000"/>
                <w:szCs w:val="24"/>
                <w:lang w:eastAsia="fi-FI"/>
              </w:rPr>
            </w:pPr>
            <w:r w:rsidRPr="00E768AD">
              <w:rPr>
                <w:rFonts w:eastAsia="Times New Roman" w:cs="Times New Roman"/>
                <w:b/>
                <w:bCs/>
                <w:color w:val="000000"/>
                <w:szCs w:val="24"/>
                <w:lang w:eastAsia="fi-FI"/>
              </w:rPr>
              <w:t> </w:t>
            </w:r>
          </w:p>
        </w:tc>
        <w:tc>
          <w:tcPr>
            <w:tcW w:w="960" w:type="dxa"/>
            <w:tcBorders>
              <w:top w:val="single" w:sz="8" w:space="0" w:color="C1C1C1"/>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b/>
                <w:bCs/>
                <w:color w:val="000000"/>
                <w:szCs w:val="24"/>
                <w:lang w:eastAsia="fi-FI"/>
              </w:rPr>
            </w:pPr>
            <w:r w:rsidRPr="00E768AD">
              <w:rPr>
                <w:rFonts w:eastAsia="Times New Roman" w:cs="Times New Roman"/>
                <w:b/>
                <w:bCs/>
                <w:color w:val="000000"/>
                <w:szCs w:val="24"/>
                <w:lang w:eastAsia="fi-FI"/>
              </w:rPr>
              <w:t> </w:t>
            </w:r>
          </w:p>
        </w:tc>
        <w:tc>
          <w:tcPr>
            <w:tcW w:w="960" w:type="dxa"/>
            <w:tcBorders>
              <w:top w:val="single" w:sz="8" w:space="0" w:color="C1C1C1"/>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b/>
                <w:bCs/>
                <w:color w:val="000000"/>
                <w:szCs w:val="24"/>
                <w:lang w:eastAsia="fi-FI"/>
              </w:rPr>
            </w:pPr>
            <w:r w:rsidRPr="00E768AD">
              <w:rPr>
                <w:rFonts w:eastAsia="Times New Roman" w:cs="Times New Roman"/>
                <w:b/>
                <w:bCs/>
                <w:color w:val="000000"/>
                <w:szCs w:val="24"/>
                <w:lang w:eastAsia="fi-FI"/>
              </w:rPr>
              <w:t> </w:t>
            </w: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b/>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b/>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b/>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b/>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b/>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b/>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b/>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b/>
                <w:color w:val="000000"/>
                <w:szCs w:val="24"/>
                <w:lang w:eastAsia="fi-FI"/>
              </w:rPr>
            </w:pPr>
          </w:p>
        </w:tc>
      </w:tr>
      <w:tr w:rsidR="00636A81" w:rsidRPr="00E768AD" w:rsidTr="00636A81">
        <w:trPr>
          <w:trHeight w:val="552"/>
        </w:trPr>
        <w:tc>
          <w:tcPr>
            <w:tcW w:w="3520" w:type="dxa"/>
            <w:tcBorders>
              <w:top w:val="nil"/>
              <w:left w:val="single" w:sz="8" w:space="0" w:color="C1C1C1"/>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b/>
                <w:bCs/>
                <w:color w:val="000000"/>
                <w:szCs w:val="24"/>
                <w:lang w:eastAsia="fi-FI"/>
              </w:rPr>
            </w:pPr>
            <w:r w:rsidRPr="00E768AD">
              <w:rPr>
                <w:rFonts w:eastAsia="Times New Roman" w:cs="Times New Roman"/>
                <w:b/>
                <w:bCs/>
                <w:color w:val="000000"/>
                <w:szCs w:val="24"/>
                <w:lang w:eastAsia="fi-FI"/>
              </w:rPr>
              <w:t>Erityisopetuksen peruste</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b/>
                <w:bCs/>
                <w:color w:val="000000"/>
                <w:szCs w:val="24"/>
                <w:lang w:eastAsia="fi-FI"/>
              </w:rPr>
            </w:pP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b/>
                <w:bCs/>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color w:val="000000"/>
                <w:szCs w:val="24"/>
                <w:lang w:eastAsia="fi-FI"/>
              </w:rPr>
            </w:pPr>
          </w:p>
        </w:tc>
      </w:tr>
      <w:tr w:rsidR="00636A81" w:rsidRPr="00E768AD" w:rsidTr="00636A81">
        <w:trPr>
          <w:trHeight w:val="300"/>
        </w:trPr>
        <w:tc>
          <w:tcPr>
            <w:tcW w:w="3520" w:type="dxa"/>
            <w:tcBorders>
              <w:top w:val="nil"/>
              <w:left w:val="single" w:sz="8" w:space="0" w:color="C1C1C1"/>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b/>
                <w:bCs/>
                <w:color w:val="000000"/>
                <w:szCs w:val="24"/>
                <w:lang w:eastAsia="fi-FI"/>
              </w:rPr>
            </w:pPr>
            <w:r w:rsidRPr="00E768AD">
              <w:rPr>
                <w:rFonts w:eastAsia="Times New Roman" w:cs="Times New Roman"/>
                <w:b/>
                <w:bCs/>
                <w:color w:val="000000"/>
                <w:szCs w:val="24"/>
                <w:lang w:eastAsia="fi-FI"/>
              </w:rPr>
              <w:t> </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b/>
                <w:bCs/>
                <w:color w:val="000000"/>
                <w:szCs w:val="24"/>
                <w:lang w:eastAsia="fi-FI"/>
              </w:rPr>
            </w:pP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b/>
                <w:bCs/>
                <w:color w:val="000000"/>
                <w:szCs w:val="24"/>
                <w:lang w:eastAsia="fi-FI"/>
              </w:rPr>
            </w:pPr>
            <w:r w:rsidRPr="00E768AD">
              <w:rPr>
                <w:rFonts w:eastAsia="Times New Roman" w:cs="Times New Roman"/>
                <w:b/>
                <w:bCs/>
                <w:color w:val="000000"/>
                <w:szCs w:val="24"/>
                <w:lang w:eastAsia="fi-FI"/>
              </w:rPr>
              <w:t>2009</w:t>
            </w: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b/>
                <w:bCs/>
                <w:color w:val="000000"/>
                <w:szCs w:val="24"/>
                <w:lang w:eastAsia="fi-FI"/>
              </w:rPr>
            </w:pPr>
            <w:r w:rsidRPr="00E768AD">
              <w:rPr>
                <w:rFonts w:eastAsia="Times New Roman" w:cs="Times New Roman"/>
                <w:b/>
                <w:bCs/>
                <w:color w:val="000000"/>
                <w:szCs w:val="24"/>
                <w:lang w:eastAsia="fi-FI"/>
              </w:rPr>
              <w:t>2010</w:t>
            </w: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b/>
                <w:bCs/>
                <w:color w:val="000000"/>
                <w:szCs w:val="24"/>
                <w:lang w:eastAsia="fi-FI"/>
              </w:rPr>
            </w:pPr>
            <w:r w:rsidRPr="00E768AD">
              <w:rPr>
                <w:rFonts w:eastAsia="Times New Roman" w:cs="Times New Roman"/>
                <w:b/>
                <w:bCs/>
                <w:color w:val="000000"/>
                <w:szCs w:val="24"/>
                <w:lang w:eastAsia="fi-FI"/>
              </w:rPr>
              <w:t>2011</w:t>
            </w: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b/>
                <w:bCs/>
                <w:color w:val="000000"/>
                <w:szCs w:val="24"/>
                <w:lang w:eastAsia="fi-FI"/>
              </w:rPr>
            </w:pPr>
            <w:r w:rsidRPr="00E768AD">
              <w:rPr>
                <w:rFonts w:eastAsia="Times New Roman" w:cs="Times New Roman"/>
                <w:b/>
                <w:bCs/>
                <w:color w:val="000000"/>
                <w:szCs w:val="24"/>
                <w:lang w:eastAsia="fi-FI"/>
              </w:rPr>
              <w:t>2012</w:t>
            </w: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b/>
                <w:bCs/>
                <w:color w:val="000000"/>
                <w:szCs w:val="24"/>
                <w:lang w:eastAsia="fi-FI"/>
              </w:rPr>
            </w:pPr>
            <w:r w:rsidRPr="00E768AD">
              <w:rPr>
                <w:rFonts w:eastAsia="Times New Roman" w:cs="Times New Roman"/>
                <w:b/>
                <w:bCs/>
                <w:color w:val="000000"/>
                <w:szCs w:val="24"/>
                <w:lang w:eastAsia="fi-FI"/>
              </w:rPr>
              <w:t>2013</w:t>
            </w: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b/>
                <w:bCs/>
                <w:color w:val="000000"/>
                <w:szCs w:val="24"/>
                <w:lang w:eastAsia="fi-FI"/>
              </w:rPr>
            </w:pPr>
            <w:r w:rsidRPr="00E768AD">
              <w:rPr>
                <w:rFonts w:eastAsia="Times New Roman" w:cs="Times New Roman"/>
                <w:b/>
                <w:bCs/>
                <w:color w:val="000000"/>
                <w:szCs w:val="24"/>
                <w:lang w:eastAsia="fi-FI"/>
              </w:rPr>
              <w:t>2014</w:t>
            </w: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b/>
                <w:bCs/>
                <w:color w:val="000000"/>
                <w:szCs w:val="24"/>
                <w:lang w:eastAsia="fi-FI"/>
              </w:rPr>
            </w:pPr>
            <w:r w:rsidRPr="00E768AD">
              <w:rPr>
                <w:rFonts w:eastAsia="Times New Roman" w:cs="Times New Roman"/>
                <w:b/>
                <w:bCs/>
                <w:color w:val="000000"/>
                <w:szCs w:val="24"/>
                <w:lang w:eastAsia="fi-FI"/>
              </w:rPr>
              <w:t>2015</w:t>
            </w: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b/>
                <w:bCs/>
                <w:color w:val="000000"/>
                <w:szCs w:val="24"/>
                <w:lang w:eastAsia="fi-FI"/>
              </w:rPr>
            </w:pPr>
            <w:r w:rsidRPr="00E768AD">
              <w:rPr>
                <w:rFonts w:eastAsia="Times New Roman" w:cs="Times New Roman"/>
                <w:b/>
                <w:bCs/>
                <w:color w:val="000000"/>
                <w:szCs w:val="24"/>
                <w:lang w:eastAsia="fi-FI"/>
              </w:rPr>
              <w:t>2016</w:t>
            </w: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b/>
                <w:bCs/>
                <w:color w:val="000000"/>
                <w:szCs w:val="24"/>
                <w:lang w:eastAsia="fi-FI"/>
              </w:rPr>
            </w:pPr>
            <w:r w:rsidRPr="00E768AD">
              <w:rPr>
                <w:rFonts w:eastAsia="Times New Roman" w:cs="Times New Roman"/>
                <w:b/>
                <w:bCs/>
                <w:color w:val="000000"/>
                <w:szCs w:val="24"/>
                <w:lang w:eastAsia="fi-FI"/>
              </w:rPr>
              <w:t>2017</w:t>
            </w:r>
          </w:p>
        </w:tc>
      </w:tr>
      <w:tr w:rsidR="00636A81" w:rsidRPr="00E768AD" w:rsidTr="00636A81">
        <w:trPr>
          <w:trHeight w:val="289"/>
        </w:trPr>
        <w:tc>
          <w:tcPr>
            <w:tcW w:w="3520" w:type="dxa"/>
            <w:tcBorders>
              <w:top w:val="nil"/>
              <w:left w:val="single" w:sz="8" w:space="0" w:color="C1C1C1"/>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b/>
                <w:bCs/>
                <w:color w:val="000000"/>
                <w:szCs w:val="24"/>
                <w:lang w:eastAsia="fi-FI"/>
              </w:rPr>
            </w:pPr>
            <w:r w:rsidRPr="00E768AD">
              <w:rPr>
                <w:rFonts w:eastAsia="Times New Roman" w:cs="Times New Roman"/>
                <w:b/>
                <w:bCs/>
                <w:color w:val="000000"/>
                <w:szCs w:val="24"/>
                <w:lang w:eastAsia="fi-FI"/>
              </w:rPr>
              <w:t>1. Hahmottamisen, tarkkaavaisuuden ja keskittymisen vaikeudet (esim. AD/HD tai ADD)</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185</w:t>
            </w:r>
          </w:p>
        </w:tc>
        <w:tc>
          <w:tcPr>
            <w:tcW w:w="960" w:type="dxa"/>
            <w:tcBorders>
              <w:top w:val="single" w:sz="8" w:space="0" w:color="C1C1C1"/>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200</w:t>
            </w:r>
          </w:p>
        </w:tc>
        <w:tc>
          <w:tcPr>
            <w:tcW w:w="960" w:type="dxa"/>
            <w:tcBorders>
              <w:top w:val="single" w:sz="8" w:space="0" w:color="C1C1C1"/>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251</w:t>
            </w:r>
          </w:p>
        </w:tc>
        <w:tc>
          <w:tcPr>
            <w:tcW w:w="960" w:type="dxa"/>
            <w:tcBorders>
              <w:top w:val="single" w:sz="8" w:space="0" w:color="C1C1C1"/>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256</w:t>
            </w:r>
          </w:p>
        </w:tc>
        <w:tc>
          <w:tcPr>
            <w:tcW w:w="960" w:type="dxa"/>
            <w:tcBorders>
              <w:top w:val="single" w:sz="8" w:space="0" w:color="C1C1C1"/>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395</w:t>
            </w:r>
          </w:p>
        </w:tc>
        <w:tc>
          <w:tcPr>
            <w:tcW w:w="960" w:type="dxa"/>
            <w:tcBorders>
              <w:top w:val="single" w:sz="8" w:space="0" w:color="C1C1C1"/>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470</w:t>
            </w:r>
          </w:p>
        </w:tc>
        <w:tc>
          <w:tcPr>
            <w:tcW w:w="960" w:type="dxa"/>
            <w:tcBorders>
              <w:top w:val="single" w:sz="8" w:space="0" w:color="C1C1C1"/>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519</w:t>
            </w:r>
          </w:p>
        </w:tc>
        <w:tc>
          <w:tcPr>
            <w:tcW w:w="960" w:type="dxa"/>
            <w:tcBorders>
              <w:top w:val="single" w:sz="8" w:space="0" w:color="C1C1C1"/>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574</w:t>
            </w:r>
          </w:p>
        </w:tc>
        <w:tc>
          <w:tcPr>
            <w:tcW w:w="960" w:type="dxa"/>
            <w:tcBorders>
              <w:top w:val="single" w:sz="8" w:space="0" w:color="C1C1C1"/>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641</w:t>
            </w:r>
          </w:p>
        </w:tc>
      </w:tr>
      <w:tr w:rsidR="00636A81" w:rsidRPr="00E768AD" w:rsidTr="00636A81">
        <w:trPr>
          <w:trHeight w:val="289"/>
        </w:trPr>
        <w:tc>
          <w:tcPr>
            <w:tcW w:w="3520" w:type="dxa"/>
            <w:tcBorders>
              <w:top w:val="nil"/>
              <w:left w:val="single" w:sz="8" w:space="0" w:color="C1C1C1"/>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b/>
                <w:bCs/>
                <w:color w:val="000000"/>
                <w:szCs w:val="24"/>
                <w:lang w:eastAsia="fi-FI"/>
              </w:rPr>
            </w:pPr>
            <w:r w:rsidRPr="00E768AD">
              <w:rPr>
                <w:rFonts w:eastAsia="Times New Roman" w:cs="Times New Roman"/>
                <w:b/>
                <w:bCs/>
                <w:color w:val="000000"/>
                <w:szCs w:val="24"/>
                <w:lang w:eastAsia="fi-FI"/>
              </w:rPr>
              <w:t>2. Kielelliset vaikeudet (esim. vaikea lukiongelma, dysfasia, dyslexia)</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286</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323</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346</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331</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456</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491</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512</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526</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524</w:t>
            </w:r>
          </w:p>
        </w:tc>
      </w:tr>
      <w:tr w:rsidR="00636A81" w:rsidRPr="00E768AD" w:rsidTr="00636A81">
        <w:trPr>
          <w:trHeight w:val="289"/>
        </w:trPr>
        <w:tc>
          <w:tcPr>
            <w:tcW w:w="3520" w:type="dxa"/>
            <w:tcBorders>
              <w:top w:val="nil"/>
              <w:left w:val="single" w:sz="8" w:space="0" w:color="C1C1C1"/>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b/>
                <w:bCs/>
                <w:color w:val="000000"/>
                <w:szCs w:val="24"/>
                <w:lang w:eastAsia="fi-FI"/>
              </w:rPr>
            </w:pPr>
            <w:r w:rsidRPr="00E768AD">
              <w:rPr>
                <w:rFonts w:eastAsia="Times New Roman" w:cs="Times New Roman"/>
                <w:b/>
                <w:bCs/>
                <w:color w:val="000000"/>
                <w:szCs w:val="24"/>
                <w:lang w:eastAsia="fi-FI"/>
              </w:rPr>
              <w:t>3. Vuorovaikutuksen ja käyttäytymisen häiriöt (esim. sosiaalinen sopeutumatto-muus)</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112</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114</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105</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93</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130</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108</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122</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116</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104</w:t>
            </w:r>
          </w:p>
        </w:tc>
      </w:tr>
      <w:tr w:rsidR="00636A81" w:rsidRPr="00E768AD" w:rsidTr="00636A81">
        <w:trPr>
          <w:trHeight w:val="289"/>
        </w:trPr>
        <w:tc>
          <w:tcPr>
            <w:tcW w:w="3520" w:type="dxa"/>
            <w:tcBorders>
              <w:top w:val="nil"/>
              <w:left w:val="single" w:sz="8" w:space="0" w:color="C1C1C1"/>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b/>
                <w:bCs/>
                <w:color w:val="000000"/>
                <w:szCs w:val="24"/>
                <w:lang w:eastAsia="fi-FI"/>
              </w:rPr>
            </w:pPr>
            <w:r w:rsidRPr="00E768AD">
              <w:rPr>
                <w:rFonts w:eastAsia="Times New Roman" w:cs="Times New Roman"/>
                <w:b/>
                <w:bCs/>
                <w:color w:val="000000"/>
                <w:szCs w:val="24"/>
                <w:lang w:eastAsia="fi-FI"/>
              </w:rPr>
              <w:t>4. Lievä kehityksen viivästyminen (opiskelijalla laajoja oppimisvaikeuksia)</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486</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524</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530</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571</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772</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852</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982</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1092</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1170</w:t>
            </w:r>
          </w:p>
        </w:tc>
      </w:tr>
      <w:tr w:rsidR="00636A81" w:rsidRPr="00E768AD" w:rsidTr="00636A81">
        <w:trPr>
          <w:trHeight w:val="289"/>
        </w:trPr>
        <w:tc>
          <w:tcPr>
            <w:tcW w:w="3520" w:type="dxa"/>
            <w:tcBorders>
              <w:top w:val="nil"/>
              <w:left w:val="single" w:sz="8" w:space="0" w:color="C1C1C1"/>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b/>
                <w:bCs/>
                <w:color w:val="000000"/>
                <w:szCs w:val="24"/>
                <w:lang w:eastAsia="fi-FI"/>
              </w:rPr>
            </w:pPr>
            <w:r w:rsidRPr="00E768AD">
              <w:rPr>
                <w:rFonts w:eastAsia="Times New Roman" w:cs="Times New Roman"/>
                <w:b/>
                <w:bCs/>
                <w:color w:val="000000"/>
                <w:szCs w:val="24"/>
                <w:lang w:eastAsia="fi-FI"/>
              </w:rPr>
              <w:t>5. vaikea kehityksen viivästyminen; keskivaikea tai vaikea kehitysvamma</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152</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142</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154</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157</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197</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192</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186</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178</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180</w:t>
            </w:r>
          </w:p>
        </w:tc>
      </w:tr>
      <w:tr w:rsidR="00636A81" w:rsidRPr="00E768AD" w:rsidTr="00636A81">
        <w:trPr>
          <w:trHeight w:val="289"/>
        </w:trPr>
        <w:tc>
          <w:tcPr>
            <w:tcW w:w="3520" w:type="dxa"/>
            <w:tcBorders>
              <w:top w:val="nil"/>
              <w:left w:val="single" w:sz="8" w:space="0" w:color="C1C1C1"/>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b/>
                <w:bCs/>
                <w:color w:val="000000"/>
                <w:szCs w:val="24"/>
                <w:lang w:eastAsia="fi-FI"/>
              </w:rPr>
            </w:pPr>
            <w:r w:rsidRPr="00E768AD">
              <w:rPr>
                <w:rFonts w:eastAsia="Times New Roman" w:cs="Times New Roman"/>
                <w:b/>
                <w:bCs/>
                <w:color w:val="000000"/>
                <w:szCs w:val="24"/>
                <w:lang w:eastAsia="fi-FI"/>
              </w:rPr>
              <w:lastRenderedPageBreak/>
              <w:t>6. Psyykkiset pitkäaikaissairaudet (mielenterveyden ongelmat, päihdekuntoutujat)</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444</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431</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486</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524</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758</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787</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812</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758</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737</w:t>
            </w:r>
          </w:p>
        </w:tc>
      </w:tr>
      <w:tr w:rsidR="00636A81" w:rsidRPr="00E768AD" w:rsidTr="00636A81">
        <w:trPr>
          <w:trHeight w:val="289"/>
        </w:trPr>
        <w:tc>
          <w:tcPr>
            <w:tcW w:w="3520" w:type="dxa"/>
            <w:tcBorders>
              <w:top w:val="nil"/>
              <w:left w:val="single" w:sz="8" w:space="0" w:color="C1C1C1"/>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b/>
                <w:bCs/>
                <w:color w:val="000000"/>
                <w:szCs w:val="24"/>
                <w:lang w:eastAsia="fi-FI"/>
              </w:rPr>
            </w:pPr>
            <w:r w:rsidRPr="00E768AD">
              <w:rPr>
                <w:rFonts w:eastAsia="Times New Roman" w:cs="Times New Roman"/>
                <w:b/>
                <w:bCs/>
                <w:color w:val="000000"/>
                <w:szCs w:val="24"/>
                <w:lang w:eastAsia="fi-FI"/>
              </w:rPr>
              <w:t>7. Fyysiset pitkäaikaissairaudet (kuten allergia, astma diabetes, epilepsia, syöpä)</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168</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145</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143</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138</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171</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176</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154</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122</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103</w:t>
            </w:r>
          </w:p>
        </w:tc>
      </w:tr>
      <w:tr w:rsidR="00636A81" w:rsidRPr="00E768AD" w:rsidTr="00636A81">
        <w:trPr>
          <w:trHeight w:val="289"/>
        </w:trPr>
        <w:tc>
          <w:tcPr>
            <w:tcW w:w="3520" w:type="dxa"/>
            <w:tcBorders>
              <w:top w:val="nil"/>
              <w:left w:val="single" w:sz="8" w:space="0" w:color="C1C1C1"/>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b/>
                <w:bCs/>
                <w:color w:val="000000"/>
                <w:szCs w:val="24"/>
                <w:lang w:eastAsia="fi-FI"/>
              </w:rPr>
            </w:pPr>
            <w:r w:rsidRPr="00E768AD">
              <w:rPr>
                <w:rFonts w:eastAsia="Times New Roman" w:cs="Times New Roman"/>
                <w:b/>
                <w:bCs/>
                <w:color w:val="000000"/>
                <w:szCs w:val="24"/>
                <w:lang w:eastAsia="fi-FI"/>
              </w:rPr>
              <w:t>8. Autismiin tai Asbergerin oireyhtymään liittyvät oppimisvaikeudet</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122</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134</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150</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183</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249</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269</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317</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318</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321</w:t>
            </w:r>
          </w:p>
        </w:tc>
      </w:tr>
      <w:tr w:rsidR="00636A81" w:rsidRPr="00E768AD" w:rsidTr="00636A81">
        <w:trPr>
          <w:trHeight w:val="289"/>
        </w:trPr>
        <w:tc>
          <w:tcPr>
            <w:tcW w:w="3520" w:type="dxa"/>
            <w:tcBorders>
              <w:top w:val="nil"/>
              <w:left w:val="single" w:sz="8" w:space="0" w:color="C1C1C1"/>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b/>
                <w:bCs/>
                <w:color w:val="000000"/>
                <w:szCs w:val="24"/>
                <w:lang w:eastAsia="fi-FI"/>
              </w:rPr>
            </w:pPr>
            <w:r w:rsidRPr="00E768AD">
              <w:rPr>
                <w:rFonts w:eastAsia="Times New Roman" w:cs="Times New Roman"/>
                <w:b/>
                <w:bCs/>
                <w:color w:val="000000"/>
                <w:szCs w:val="24"/>
                <w:lang w:eastAsia="fi-FI"/>
              </w:rPr>
              <w:t>9. Liikkumisen ja motorisen toimintojen vaikeus (tuki- ja liikuntaelinvammat, cp-oireyhtymä, lyhytkasvuisuus)</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155</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153</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142</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119</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136</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105</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73</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58</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53</w:t>
            </w:r>
          </w:p>
        </w:tc>
      </w:tr>
      <w:tr w:rsidR="00636A81" w:rsidRPr="00E768AD" w:rsidTr="00636A81">
        <w:trPr>
          <w:trHeight w:val="289"/>
        </w:trPr>
        <w:tc>
          <w:tcPr>
            <w:tcW w:w="3520" w:type="dxa"/>
            <w:tcBorders>
              <w:top w:val="nil"/>
              <w:left w:val="single" w:sz="8" w:space="0" w:color="C1C1C1"/>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b/>
                <w:bCs/>
                <w:color w:val="000000"/>
                <w:szCs w:val="24"/>
                <w:lang w:eastAsia="fi-FI"/>
              </w:rPr>
            </w:pPr>
            <w:r w:rsidRPr="00E768AD">
              <w:rPr>
                <w:rFonts w:eastAsia="Times New Roman" w:cs="Times New Roman"/>
                <w:b/>
                <w:bCs/>
                <w:color w:val="000000"/>
                <w:szCs w:val="24"/>
                <w:lang w:eastAsia="fi-FI"/>
              </w:rPr>
              <w:t>10. Kuulovamma</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44</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42</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35</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40</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51</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45</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49</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45</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34</w:t>
            </w:r>
          </w:p>
        </w:tc>
      </w:tr>
      <w:tr w:rsidR="00636A81" w:rsidRPr="00E768AD" w:rsidTr="00636A81">
        <w:trPr>
          <w:trHeight w:val="289"/>
        </w:trPr>
        <w:tc>
          <w:tcPr>
            <w:tcW w:w="3520" w:type="dxa"/>
            <w:tcBorders>
              <w:top w:val="nil"/>
              <w:left w:val="single" w:sz="8" w:space="0" w:color="C1C1C1"/>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b/>
                <w:bCs/>
                <w:color w:val="000000"/>
                <w:szCs w:val="24"/>
                <w:lang w:eastAsia="fi-FI"/>
              </w:rPr>
            </w:pPr>
            <w:r w:rsidRPr="00E768AD">
              <w:rPr>
                <w:rFonts w:eastAsia="Times New Roman" w:cs="Times New Roman"/>
                <w:b/>
                <w:bCs/>
                <w:color w:val="000000"/>
                <w:szCs w:val="24"/>
                <w:lang w:eastAsia="fi-FI"/>
              </w:rPr>
              <w:t>11. Näkövamma</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72</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64</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59</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58</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74</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64</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60</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55</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43</w:t>
            </w:r>
          </w:p>
        </w:tc>
      </w:tr>
      <w:tr w:rsidR="00636A81" w:rsidRPr="00E768AD" w:rsidTr="00636A81">
        <w:trPr>
          <w:trHeight w:val="289"/>
        </w:trPr>
        <w:tc>
          <w:tcPr>
            <w:tcW w:w="3520" w:type="dxa"/>
            <w:tcBorders>
              <w:top w:val="nil"/>
              <w:left w:val="single" w:sz="8" w:space="0" w:color="C1C1C1"/>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b/>
                <w:bCs/>
                <w:color w:val="000000"/>
                <w:szCs w:val="24"/>
                <w:lang w:eastAsia="fi-FI"/>
              </w:rPr>
            </w:pPr>
            <w:r w:rsidRPr="00E768AD">
              <w:rPr>
                <w:rFonts w:eastAsia="Times New Roman" w:cs="Times New Roman"/>
                <w:b/>
                <w:bCs/>
                <w:color w:val="000000"/>
                <w:szCs w:val="24"/>
                <w:lang w:eastAsia="fi-FI"/>
              </w:rPr>
              <w:t>12. muu syy, joka edellyttää erityisopetusta</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125</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103</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72</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69</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73</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59</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64</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60</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71</w:t>
            </w:r>
          </w:p>
        </w:tc>
      </w:tr>
      <w:tr w:rsidR="00636A81" w:rsidRPr="00E768AD" w:rsidTr="00636A81">
        <w:trPr>
          <w:trHeight w:val="855"/>
        </w:trPr>
        <w:tc>
          <w:tcPr>
            <w:tcW w:w="3520" w:type="dxa"/>
            <w:tcBorders>
              <w:top w:val="nil"/>
              <w:left w:val="single" w:sz="8" w:space="0" w:color="C1C1C1"/>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Näyttötutkinoon valmistavassa tai oppisopimuskoulutuksessa (ei tietoa orityisopetuksen syystä)</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186</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124</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106</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139</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194</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207</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265</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285</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228</w:t>
            </w:r>
          </w:p>
        </w:tc>
      </w:tr>
      <w:tr w:rsidR="00636A81" w:rsidRPr="00E768AD" w:rsidTr="00636A81">
        <w:trPr>
          <w:trHeight w:val="289"/>
        </w:trPr>
        <w:tc>
          <w:tcPr>
            <w:tcW w:w="3520" w:type="dxa"/>
            <w:tcBorders>
              <w:top w:val="nil"/>
              <w:left w:val="single" w:sz="8" w:space="0" w:color="C1C1C1"/>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b/>
                <w:bCs/>
                <w:color w:val="000000"/>
                <w:szCs w:val="24"/>
                <w:lang w:eastAsia="fi-FI"/>
              </w:rPr>
            </w:pPr>
            <w:r w:rsidRPr="00E768AD">
              <w:rPr>
                <w:rFonts w:eastAsia="Times New Roman" w:cs="Times New Roman"/>
                <w:b/>
                <w:bCs/>
                <w:color w:val="000000"/>
                <w:szCs w:val="24"/>
                <w:lang w:eastAsia="fi-FI"/>
              </w:rPr>
              <w:t> </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color w:val="000000"/>
                <w:szCs w:val="24"/>
                <w:lang w:eastAsia="fi-FI"/>
              </w:rPr>
            </w:pPr>
          </w:p>
        </w:tc>
      </w:tr>
      <w:tr w:rsidR="00636A81" w:rsidRPr="00E768AD" w:rsidTr="00636A81">
        <w:trPr>
          <w:trHeight w:val="289"/>
        </w:trPr>
        <w:tc>
          <w:tcPr>
            <w:tcW w:w="3520" w:type="dxa"/>
            <w:tcBorders>
              <w:top w:val="nil"/>
              <w:left w:val="single" w:sz="8" w:space="0" w:color="C1C1C1"/>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b/>
                <w:bCs/>
                <w:color w:val="000000"/>
                <w:szCs w:val="24"/>
                <w:lang w:eastAsia="fi-FI"/>
              </w:rPr>
            </w:pPr>
            <w:r w:rsidRPr="00E768AD">
              <w:rPr>
                <w:rFonts w:eastAsia="Times New Roman" w:cs="Times New Roman"/>
                <w:b/>
                <w:bCs/>
                <w:color w:val="000000"/>
                <w:szCs w:val="24"/>
                <w:lang w:eastAsia="fi-FI"/>
              </w:rPr>
              <w:t>Total</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2351</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2499</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2579</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2678</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3656</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3825</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4115</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4187</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eastAsia="Times New Roman" w:cs="Times New Roman"/>
                <w:color w:val="000000"/>
                <w:szCs w:val="24"/>
                <w:lang w:eastAsia="fi-FI"/>
              </w:rPr>
              <w:t>4209</w:t>
            </w:r>
          </w:p>
        </w:tc>
      </w:tr>
      <w:tr w:rsidR="00636A81" w:rsidRPr="00E768AD" w:rsidTr="00636A81">
        <w:trPr>
          <w:trHeight w:val="289"/>
        </w:trPr>
        <w:tc>
          <w:tcPr>
            <w:tcW w:w="3520" w:type="dxa"/>
            <w:tcBorders>
              <w:top w:val="nil"/>
              <w:left w:val="single" w:sz="8" w:space="0" w:color="C1C1C1"/>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b/>
                <w:bCs/>
                <w:color w:val="000000"/>
                <w:szCs w:val="24"/>
                <w:lang w:eastAsia="fi-FI"/>
              </w:rPr>
            </w:pPr>
            <w:r w:rsidRPr="00E768AD">
              <w:rPr>
                <w:rFonts w:eastAsia="Times New Roman" w:cs="Times New Roman"/>
                <w:b/>
                <w:bCs/>
                <w:color w:val="000000"/>
                <w:szCs w:val="24"/>
                <w:lang w:eastAsia="fi-FI"/>
              </w:rPr>
              <w:t> </w:t>
            </w: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b/>
                <w:bCs/>
                <w:color w:val="000000"/>
                <w:szCs w:val="24"/>
                <w:lang w:eastAsia="fi-FI"/>
              </w:rPr>
            </w:pPr>
          </w:p>
        </w:tc>
        <w:tc>
          <w:tcPr>
            <w:tcW w:w="960" w:type="dxa"/>
            <w:tcBorders>
              <w:top w:val="nil"/>
              <w:left w:val="nil"/>
              <w:bottom w:val="nil"/>
              <w:right w:val="nil"/>
            </w:tcBorders>
            <w:shd w:val="clear" w:color="auto" w:fill="auto"/>
            <w:hideMark/>
          </w:tcPr>
          <w:p w:rsidR="00636A81" w:rsidRPr="00E768AD" w:rsidRDefault="00636A81" w:rsidP="00E768AD">
            <w:pPr>
              <w:spacing w:after="0" w:line="276" w:lineRule="auto"/>
              <w:jc w:val="both"/>
              <w:rPr>
                <w:rFonts w:eastAsia="Times New Roman" w:cs="Times New Roman"/>
                <w:b/>
                <w:bCs/>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color w:val="000000"/>
                <w:szCs w:val="24"/>
                <w:lang w:eastAsia="fi-FI"/>
              </w:rPr>
            </w:pPr>
          </w:p>
        </w:tc>
      </w:tr>
      <w:tr w:rsidR="00636A81" w:rsidRPr="00E768AD" w:rsidTr="00636A81">
        <w:trPr>
          <w:trHeight w:val="315"/>
        </w:trPr>
        <w:tc>
          <w:tcPr>
            <w:tcW w:w="8320" w:type="dxa"/>
            <w:gridSpan w:val="6"/>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b/>
                <w:bCs/>
                <w:color w:val="000000"/>
                <w:szCs w:val="24"/>
                <w:lang w:eastAsia="fi-FI"/>
              </w:rPr>
            </w:pPr>
            <w:r w:rsidRPr="00E768AD">
              <w:rPr>
                <w:rFonts w:eastAsia="Times New Roman" w:cs="Times New Roman"/>
                <w:b/>
                <w:bCs/>
                <w:color w:val="000000"/>
                <w:szCs w:val="24"/>
                <w:lang w:eastAsia="fi-FI"/>
              </w:rPr>
              <w:t>Tiedot ovat kalenterivuodelta vuodesta 2013 alkaen, sitä ennen tilanteesta 20.9.</w:t>
            </w: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color w:val="000000"/>
                <w:szCs w:val="24"/>
                <w:lang w:eastAsia="fi-FI"/>
              </w:rPr>
            </w:pPr>
          </w:p>
        </w:tc>
        <w:tc>
          <w:tcPr>
            <w:tcW w:w="960" w:type="dxa"/>
            <w:tcBorders>
              <w:top w:val="nil"/>
              <w:left w:val="nil"/>
              <w:bottom w:val="nil"/>
              <w:right w:val="nil"/>
            </w:tcBorders>
            <w:shd w:val="clear" w:color="auto" w:fill="auto"/>
            <w:noWrap/>
            <w:vAlign w:val="bottom"/>
            <w:hideMark/>
          </w:tcPr>
          <w:p w:rsidR="00636A81" w:rsidRPr="00E768AD" w:rsidRDefault="00636A81" w:rsidP="00E768AD">
            <w:pPr>
              <w:spacing w:after="0" w:line="276" w:lineRule="auto"/>
              <w:jc w:val="both"/>
              <w:rPr>
                <w:rFonts w:eastAsia="Times New Roman" w:cs="Times New Roman"/>
                <w:color w:val="000000"/>
                <w:szCs w:val="24"/>
                <w:lang w:eastAsia="fi-FI"/>
              </w:rPr>
            </w:pPr>
          </w:p>
        </w:tc>
      </w:tr>
    </w:tbl>
    <w:p w:rsidR="00636A81" w:rsidRPr="00E768AD" w:rsidRDefault="00636A81" w:rsidP="00E768AD">
      <w:pPr>
        <w:spacing w:line="276" w:lineRule="auto"/>
        <w:jc w:val="both"/>
        <w:rPr>
          <w:rFonts w:cs="Times New Roman"/>
          <w:szCs w:val="24"/>
        </w:rPr>
      </w:pPr>
    </w:p>
    <w:p w:rsidR="00636A81" w:rsidRPr="00E768AD" w:rsidRDefault="00636A81" w:rsidP="00E768AD">
      <w:pPr>
        <w:spacing w:after="0" w:line="276" w:lineRule="auto"/>
        <w:jc w:val="both"/>
        <w:rPr>
          <w:rFonts w:eastAsia="Times New Roman" w:cs="Times New Roman"/>
          <w:color w:val="000000"/>
          <w:szCs w:val="24"/>
          <w:lang w:eastAsia="fi-FI"/>
        </w:rPr>
      </w:pPr>
      <w:r w:rsidRPr="00E768AD">
        <w:rPr>
          <w:rFonts w:cs="Times New Roman"/>
          <w:szCs w:val="24"/>
        </w:rPr>
        <w:t xml:space="preserve">Taulukko 1. </w:t>
      </w:r>
      <w:r w:rsidRPr="00E768AD">
        <w:rPr>
          <w:rFonts w:eastAsia="Times New Roman" w:cs="Times New Roman"/>
          <w:color w:val="000000"/>
          <w:szCs w:val="24"/>
          <w:lang w:eastAsia="fi-FI"/>
        </w:rPr>
        <w:t>Ammatillisen koulutuksen erityisopiskelijat erityisopetuksen perusteen mukaan ammatillisissa erityisoppilaitoksissa 2009-2017</w:t>
      </w:r>
    </w:p>
    <w:p w:rsidR="00636A81" w:rsidRPr="00E768AD" w:rsidRDefault="00636A81" w:rsidP="00E768AD">
      <w:pPr>
        <w:pStyle w:val="Kirjallisuusluettelo"/>
        <w:spacing w:line="276" w:lineRule="auto"/>
        <w:jc w:val="both"/>
        <w:rPr>
          <w:rFonts w:cs="Times New Roman"/>
          <w:szCs w:val="24"/>
        </w:rPr>
      </w:pPr>
    </w:p>
    <w:p w:rsidR="00A9689D" w:rsidRPr="00E768AD" w:rsidRDefault="00A9689D" w:rsidP="00E768AD">
      <w:pPr>
        <w:pStyle w:val="Kirjallisuusluettelo"/>
        <w:spacing w:line="276" w:lineRule="auto"/>
        <w:jc w:val="both"/>
        <w:rPr>
          <w:rFonts w:cs="Times New Roman"/>
          <w:szCs w:val="24"/>
        </w:rPr>
      </w:pPr>
    </w:p>
    <w:p w:rsidR="009444B3" w:rsidRPr="00E768AD" w:rsidRDefault="009306D4" w:rsidP="00E768AD">
      <w:pPr>
        <w:pStyle w:val="Kirjallisuusluettelo"/>
        <w:spacing w:line="276" w:lineRule="auto"/>
        <w:jc w:val="both"/>
        <w:rPr>
          <w:rFonts w:cs="Times New Roman"/>
          <w:noProof/>
          <w:szCs w:val="24"/>
          <w:lang w:eastAsia="fi-FI"/>
        </w:rPr>
      </w:pPr>
      <w:r w:rsidRPr="00E768AD">
        <w:rPr>
          <w:rFonts w:cs="Times New Roman"/>
          <w:noProof/>
          <w:szCs w:val="24"/>
          <w:lang w:eastAsia="fi-FI"/>
        </w:rPr>
        <w:t>Tilastollisesti tarkasteltuna VALMA- ja TELMA-koulutuksista voidaan todeta, että 2010-luvun jälkipuoliskolla ainoastaan ammatillisen peruskoulutuksen valmentavan koulutuksen opiskelijamäärät (VALMA ei erityisopetuksena) ovat vähentyneet noin kolmanneksella. VALMAaa erityisopetuksena on tote</w:t>
      </w:r>
      <w:r w:rsidR="00254A28" w:rsidRPr="00E768AD">
        <w:rPr>
          <w:rFonts w:cs="Times New Roman"/>
          <w:noProof/>
          <w:szCs w:val="24"/>
          <w:lang w:eastAsia="fi-FI"/>
        </w:rPr>
        <w:t>u</w:t>
      </w:r>
      <w:r w:rsidRPr="00E768AD">
        <w:rPr>
          <w:rFonts w:cs="Times New Roman"/>
          <w:noProof/>
          <w:szCs w:val="24"/>
          <w:lang w:eastAsia="fi-FI"/>
        </w:rPr>
        <w:t>tettu vuosittain noin 500 opiskelijalle, kun TELMAa</w:t>
      </w:r>
      <w:r w:rsidR="0076203C" w:rsidRPr="00E768AD">
        <w:rPr>
          <w:rFonts w:cs="Times New Roman"/>
          <w:noProof/>
          <w:szCs w:val="24"/>
          <w:lang w:eastAsia="fi-FI"/>
        </w:rPr>
        <w:t xml:space="preserve"> </w:t>
      </w:r>
      <w:r w:rsidR="0055756B" w:rsidRPr="00E768AD">
        <w:rPr>
          <w:rFonts w:cs="Times New Roman"/>
          <w:noProof/>
          <w:szCs w:val="24"/>
          <w:lang w:eastAsia="fi-FI"/>
        </w:rPr>
        <w:t xml:space="preserve">on toteutettu </w:t>
      </w:r>
      <w:r w:rsidR="0076203C" w:rsidRPr="00E768AD">
        <w:rPr>
          <w:rFonts w:cs="Times New Roman"/>
          <w:noProof/>
          <w:szCs w:val="24"/>
          <w:lang w:eastAsia="fi-FI"/>
        </w:rPr>
        <w:t>300-400 opiskelijalle.</w:t>
      </w:r>
    </w:p>
    <w:p w:rsidR="0076203C" w:rsidRPr="00E768AD" w:rsidRDefault="0076203C" w:rsidP="00E768AD">
      <w:pPr>
        <w:pStyle w:val="Kirjallisuusluettelo"/>
        <w:spacing w:line="276" w:lineRule="auto"/>
        <w:jc w:val="both"/>
        <w:rPr>
          <w:rFonts w:cs="Times New Roman"/>
          <w:noProof/>
          <w:szCs w:val="24"/>
          <w:lang w:eastAsia="fi-FI"/>
        </w:rPr>
      </w:pPr>
      <w:r w:rsidRPr="00E768AD">
        <w:rPr>
          <w:rFonts w:cs="Times New Roman"/>
          <w:noProof/>
          <w:szCs w:val="24"/>
          <w:lang w:eastAsia="fi-FI"/>
        </w:rPr>
        <w:t xml:space="preserve">Anna-Maija Niemi (2015) on arvioinut väitöskirjassaan VALMA- ja TELMA-koulutusten merkitystä opiskelijoiden ja koulutuspolitiikan kannalta. </w:t>
      </w:r>
      <w:r w:rsidR="006741E7" w:rsidRPr="00E768AD">
        <w:rPr>
          <w:rFonts w:cs="Times New Roman"/>
          <w:noProof/>
          <w:szCs w:val="24"/>
          <w:lang w:eastAsia="fi-FI"/>
        </w:rPr>
        <w:t>VALMA</w:t>
      </w:r>
      <w:r w:rsidRPr="00E768AD">
        <w:rPr>
          <w:rFonts w:cs="Times New Roman"/>
          <w:noProof/>
          <w:szCs w:val="24"/>
          <w:lang w:eastAsia="fi-FI"/>
        </w:rPr>
        <w:t xml:space="preserve"> voi toimia opiskelijalle välivaiheena, kun taas VALMA erityisopetuksen</w:t>
      </w:r>
      <w:r w:rsidR="00254A28" w:rsidRPr="00E768AD">
        <w:rPr>
          <w:rFonts w:cs="Times New Roman"/>
          <w:noProof/>
          <w:szCs w:val="24"/>
          <w:lang w:eastAsia="fi-FI"/>
        </w:rPr>
        <w:t>a</w:t>
      </w:r>
      <w:r w:rsidRPr="00E768AD">
        <w:rPr>
          <w:rFonts w:cs="Times New Roman"/>
          <w:noProof/>
          <w:szCs w:val="24"/>
          <w:lang w:eastAsia="fi-FI"/>
        </w:rPr>
        <w:t xml:space="preserve"> asettaa kysymykse</w:t>
      </w:r>
      <w:r w:rsidR="00254A28" w:rsidRPr="00E768AD">
        <w:rPr>
          <w:rFonts w:cs="Times New Roman"/>
          <w:noProof/>
          <w:szCs w:val="24"/>
          <w:lang w:eastAsia="fi-FI"/>
        </w:rPr>
        <w:t xml:space="preserve">n erityisyyden määrittelystä eli sen hyödyistä ja haitoista. TELMA-koulutuksen Niemi tulkitsee vaikeavammaisten koulutussegregaatioksi, jolloin yleinen koulutuspoliittinen linjaus inklusiivisuudesta kyseenalaistuu. Tähän asiakokonaisuuteen liittyy monia näkökulmia, mutta koulutusinkluusion kannalta olennaista olisikin jatkossa selvittää, miksi VALMA erityisopetuksen </w:t>
      </w:r>
      <w:r w:rsidR="004770E1" w:rsidRPr="00E768AD">
        <w:rPr>
          <w:rFonts w:cs="Times New Roman"/>
          <w:noProof/>
          <w:szCs w:val="24"/>
          <w:lang w:eastAsia="fi-FI"/>
        </w:rPr>
        <w:t>ja TELMA-koulutuksen opiskelija</w:t>
      </w:r>
      <w:r w:rsidR="00254A28" w:rsidRPr="00E768AD">
        <w:rPr>
          <w:rFonts w:cs="Times New Roman"/>
          <w:noProof/>
          <w:szCs w:val="24"/>
          <w:lang w:eastAsia="fi-FI"/>
        </w:rPr>
        <w:t xml:space="preserve">määrissä ei juurikaan ole tapahtunut muutoksia. VALMA-opiskelijoiden lukumäärän </w:t>
      </w:r>
      <w:r w:rsidR="004264F2" w:rsidRPr="00E768AD">
        <w:rPr>
          <w:rFonts w:cs="Times New Roman"/>
          <w:noProof/>
          <w:szCs w:val="24"/>
          <w:lang w:eastAsia="fi-FI"/>
        </w:rPr>
        <w:t>vähene</w:t>
      </w:r>
      <w:r w:rsidR="00254A28" w:rsidRPr="00E768AD">
        <w:rPr>
          <w:rFonts w:cs="Times New Roman"/>
          <w:noProof/>
          <w:szCs w:val="24"/>
          <w:lang w:eastAsia="fi-FI"/>
        </w:rPr>
        <w:t>minen</w:t>
      </w:r>
      <w:r w:rsidR="006741E7" w:rsidRPr="00E768AD">
        <w:rPr>
          <w:rFonts w:cs="Times New Roman"/>
          <w:noProof/>
          <w:szCs w:val="24"/>
          <w:lang w:eastAsia="fi-FI"/>
        </w:rPr>
        <w:t xml:space="preserve"> vaatisi myös tarkempaa tutkimusta. Onko VALMA-koulutuksen tarve vähentynyt ja/tai liit</w:t>
      </w:r>
      <w:r w:rsidR="0055756B" w:rsidRPr="00E768AD">
        <w:rPr>
          <w:rFonts w:cs="Times New Roman"/>
          <w:noProof/>
          <w:szCs w:val="24"/>
          <w:lang w:eastAsia="fi-FI"/>
        </w:rPr>
        <w:t>tyykö opiskelijamäärien vähenem</w:t>
      </w:r>
      <w:r w:rsidR="006741E7" w:rsidRPr="00E768AD">
        <w:rPr>
          <w:rFonts w:cs="Times New Roman"/>
          <w:noProof/>
          <w:szCs w:val="24"/>
          <w:lang w:eastAsia="fi-FI"/>
        </w:rPr>
        <w:t>inen ammatillisen opetuksen leikkauksiin.</w:t>
      </w:r>
    </w:p>
    <w:p w:rsidR="009444B3" w:rsidRPr="00E768AD" w:rsidRDefault="00ED5EF6" w:rsidP="00E768AD">
      <w:pPr>
        <w:spacing w:line="276" w:lineRule="auto"/>
        <w:jc w:val="both"/>
        <w:rPr>
          <w:rFonts w:cs="Times New Roman"/>
          <w:szCs w:val="24"/>
        </w:rPr>
      </w:pPr>
      <w:r w:rsidRPr="00E768AD">
        <w:rPr>
          <w:rFonts w:cs="Times New Roman"/>
          <w:noProof/>
          <w:szCs w:val="24"/>
          <w:lang w:eastAsia="fi-FI"/>
        </w:rPr>
        <w:drawing>
          <wp:inline distT="0" distB="0" distL="0" distR="0" wp14:anchorId="255C205F" wp14:editId="5A52AEEE">
            <wp:extent cx="4710223" cy="3083442"/>
            <wp:effectExtent l="0" t="0" r="14605" b="22225"/>
            <wp:docPr id="3" name="Kaavi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5123C" w:rsidRPr="00E768AD" w:rsidRDefault="003639AF" w:rsidP="00E768AD">
      <w:pPr>
        <w:spacing w:line="276" w:lineRule="auto"/>
        <w:jc w:val="both"/>
        <w:rPr>
          <w:rFonts w:cs="Times New Roman"/>
          <w:szCs w:val="24"/>
        </w:rPr>
      </w:pPr>
      <w:r w:rsidRPr="00E768AD">
        <w:rPr>
          <w:rFonts w:cs="Times New Roman"/>
          <w:b/>
          <w:szCs w:val="24"/>
        </w:rPr>
        <w:lastRenderedPageBreak/>
        <w:t>Kuvio 2.</w:t>
      </w:r>
      <w:r w:rsidRPr="00E768AD">
        <w:rPr>
          <w:rFonts w:cs="Times New Roman"/>
          <w:szCs w:val="24"/>
        </w:rPr>
        <w:t xml:space="preserve"> Ammatilliseen peruskoulutukseen valmentavan</w:t>
      </w:r>
      <w:r w:rsidR="00664B40" w:rsidRPr="00E768AD">
        <w:rPr>
          <w:rFonts w:cs="Times New Roman"/>
          <w:szCs w:val="24"/>
        </w:rPr>
        <w:t xml:space="preserve"> koulutuksen</w:t>
      </w:r>
      <w:r w:rsidRPr="00E768AD">
        <w:rPr>
          <w:rFonts w:cs="Times New Roman"/>
          <w:szCs w:val="24"/>
        </w:rPr>
        <w:t xml:space="preserve">, ammatilliseen </w:t>
      </w:r>
      <w:r w:rsidR="007B0D45" w:rsidRPr="00E768AD">
        <w:rPr>
          <w:rFonts w:cs="Times New Roman"/>
          <w:szCs w:val="24"/>
        </w:rPr>
        <w:t>perus</w:t>
      </w:r>
      <w:r w:rsidRPr="00E768AD">
        <w:rPr>
          <w:rFonts w:cs="Times New Roman"/>
          <w:szCs w:val="24"/>
        </w:rPr>
        <w:t>koulutukseen valmentavan erityisopetuksena järjestettävän</w:t>
      </w:r>
      <w:r w:rsidR="00664B40" w:rsidRPr="00E768AD">
        <w:rPr>
          <w:rFonts w:cs="Times New Roman"/>
          <w:szCs w:val="24"/>
        </w:rPr>
        <w:t xml:space="preserve"> koulutuksen</w:t>
      </w:r>
      <w:r w:rsidRPr="00E768AD">
        <w:rPr>
          <w:rFonts w:cs="Times New Roman"/>
          <w:szCs w:val="24"/>
        </w:rPr>
        <w:t xml:space="preserve"> sekä työhön ja itsenäiseen elämään valmentavan koulutuksen </w:t>
      </w:r>
      <w:r w:rsidR="007B0D45" w:rsidRPr="00E768AD">
        <w:rPr>
          <w:rFonts w:cs="Times New Roman"/>
          <w:szCs w:val="24"/>
        </w:rPr>
        <w:t xml:space="preserve">paikan vastaanottaneet opiskelijat vuosina 2015–2018 </w:t>
      </w:r>
      <w:r w:rsidRPr="00E768AD">
        <w:rPr>
          <w:rFonts w:cs="Times New Roman"/>
          <w:szCs w:val="24"/>
        </w:rPr>
        <w:t>(Opetusha</w:t>
      </w:r>
      <w:r w:rsidR="00140006" w:rsidRPr="00E768AD">
        <w:rPr>
          <w:rFonts w:cs="Times New Roman"/>
          <w:szCs w:val="24"/>
        </w:rPr>
        <w:t>llinnon tilastopalvelu Vipunen</w:t>
      </w:r>
      <w:r w:rsidR="007B0D45" w:rsidRPr="00E768AD">
        <w:rPr>
          <w:rFonts w:cs="Times New Roman"/>
          <w:szCs w:val="24"/>
        </w:rPr>
        <w:t>).</w:t>
      </w:r>
    </w:p>
    <w:p w:rsidR="00A5123C" w:rsidRPr="00E768AD" w:rsidRDefault="00A5123C" w:rsidP="00E768AD">
      <w:pPr>
        <w:spacing w:line="276" w:lineRule="auto"/>
        <w:jc w:val="both"/>
        <w:rPr>
          <w:rFonts w:cs="Times New Roman"/>
          <w:szCs w:val="24"/>
        </w:rPr>
      </w:pPr>
    </w:p>
    <w:p w:rsidR="00035752" w:rsidRDefault="00AB293C" w:rsidP="00E768AD">
      <w:pPr>
        <w:pStyle w:val="Otsikko2"/>
        <w:spacing w:line="276" w:lineRule="auto"/>
        <w:jc w:val="both"/>
        <w:rPr>
          <w:rFonts w:cs="Times New Roman"/>
          <w:sz w:val="24"/>
          <w:szCs w:val="24"/>
        </w:rPr>
      </w:pPr>
      <w:bookmarkStart w:id="1" w:name="_Toc527095061"/>
      <w:r w:rsidRPr="00E768AD">
        <w:rPr>
          <w:rFonts w:cs="Times New Roman"/>
          <w:sz w:val="24"/>
          <w:szCs w:val="24"/>
        </w:rPr>
        <w:t>Keskeinen lainsäädäntö ja politiikka</w:t>
      </w:r>
      <w:bookmarkEnd w:id="1"/>
    </w:p>
    <w:p w:rsidR="009D173F" w:rsidRPr="009D173F" w:rsidRDefault="009D173F" w:rsidP="009D173F"/>
    <w:p w:rsidR="00AA27AE" w:rsidRPr="00E768AD" w:rsidRDefault="008D6CBE" w:rsidP="00E768AD">
      <w:pPr>
        <w:spacing w:line="276" w:lineRule="auto"/>
        <w:jc w:val="both"/>
        <w:rPr>
          <w:rFonts w:cs="Times New Roman"/>
          <w:szCs w:val="24"/>
        </w:rPr>
      </w:pPr>
      <w:r w:rsidRPr="00E768AD">
        <w:rPr>
          <w:rFonts w:cs="Times New Roman"/>
          <w:szCs w:val="24"/>
        </w:rPr>
        <w:t>Lain</w:t>
      </w:r>
      <w:r w:rsidR="00CA0C06" w:rsidRPr="00E768AD">
        <w:rPr>
          <w:rFonts w:cs="Times New Roman"/>
          <w:szCs w:val="24"/>
        </w:rPr>
        <w:t xml:space="preserve"> ammatillisesta koulutuksesta</w:t>
      </w:r>
      <w:r w:rsidRPr="00E768AD">
        <w:rPr>
          <w:rFonts w:cs="Times New Roman"/>
          <w:szCs w:val="24"/>
        </w:rPr>
        <w:t xml:space="preserve"> (531/2017) tavoitteena on kohottaa ja ylläpitää väestön ammatillista osaamista. Lain 7§ pykälässä todetaan, että ammatillisen koulutuksen valmentava koulutus on tarkoitettu </w:t>
      </w:r>
      <w:r w:rsidR="00C25F10" w:rsidRPr="00E768AD">
        <w:rPr>
          <w:rFonts w:cs="Times New Roman"/>
          <w:szCs w:val="24"/>
        </w:rPr>
        <w:t xml:space="preserve">tueksi </w:t>
      </w:r>
      <w:r w:rsidRPr="00E768AD">
        <w:rPr>
          <w:rFonts w:cs="Times New Roman"/>
          <w:szCs w:val="24"/>
        </w:rPr>
        <w:t>vammaisille ja sairaille</w:t>
      </w:r>
      <w:r w:rsidR="00C25F10" w:rsidRPr="00E768AD">
        <w:rPr>
          <w:rFonts w:cs="Times New Roman"/>
          <w:szCs w:val="24"/>
        </w:rPr>
        <w:t xml:space="preserve"> henkilöille, joilla ei ole riittävästi valmiuksia peruskoulun jälkeen ammatilliseen koulutukseen.</w:t>
      </w:r>
      <w:r w:rsidR="006D206D" w:rsidRPr="00E768AD">
        <w:rPr>
          <w:rFonts w:cs="Times New Roman"/>
          <w:szCs w:val="24"/>
        </w:rPr>
        <w:t xml:space="preserve"> Näitä valmentavia koulutuksia ovat ammatillisen peruskoulutuksen valmentava koulutus VALMA ja työhön ja itsenäiseen</w:t>
      </w:r>
      <w:r w:rsidR="005B7FFE" w:rsidRPr="00E768AD">
        <w:rPr>
          <w:rFonts w:cs="Times New Roman"/>
          <w:szCs w:val="24"/>
        </w:rPr>
        <w:t xml:space="preserve"> elämään valmentava koulutus TELMA. Valmentavien koulutusten merkitystä tarkastellaan tarkemmin </w:t>
      </w:r>
      <w:r w:rsidR="00C57A46" w:rsidRPr="00E768AD">
        <w:rPr>
          <w:rFonts w:cs="Times New Roman"/>
          <w:szCs w:val="24"/>
        </w:rPr>
        <w:t>tässä raportissa myöhemmissä luvuissa.</w:t>
      </w:r>
    </w:p>
    <w:p w:rsidR="005F51C1" w:rsidRPr="00E768AD" w:rsidRDefault="005F51C1" w:rsidP="00E768AD">
      <w:pPr>
        <w:spacing w:line="276" w:lineRule="auto"/>
        <w:jc w:val="both"/>
        <w:rPr>
          <w:rFonts w:cs="Times New Roman"/>
          <w:szCs w:val="24"/>
        </w:rPr>
      </w:pPr>
      <w:r w:rsidRPr="00E768AD">
        <w:rPr>
          <w:rFonts w:cs="Times New Roman"/>
          <w:szCs w:val="24"/>
        </w:rPr>
        <w:t xml:space="preserve">Politiikkatasolla keskeisessä asemassa ovat vajaakuntoisten te-palvelut. </w:t>
      </w:r>
      <w:r w:rsidR="00B502C1" w:rsidRPr="00E768AD">
        <w:rPr>
          <w:rFonts w:cs="Times New Roman"/>
          <w:szCs w:val="24"/>
        </w:rPr>
        <w:t>Vaikka te-palveluja on oikeus käyttää myös osatyökykyisten ja vajaakuntoisten, nii</w:t>
      </w:r>
      <w:r w:rsidR="006B0826" w:rsidRPr="00E768AD">
        <w:rPr>
          <w:rFonts w:cs="Times New Roman"/>
          <w:szCs w:val="24"/>
        </w:rPr>
        <w:t xml:space="preserve">n te-palvelujen repertoaari ei riitä välttämättä kattamaan kaikkia niitä palveluja, joita </w:t>
      </w:r>
      <w:r w:rsidR="004E3238" w:rsidRPr="00E768AD">
        <w:rPr>
          <w:rFonts w:cs="Times New Roman"/>
          <w:szCs w:val="24"/>
        </w:rPr>
        <w:t xml:space="preserve">osatyökykyiset ja vajaakuntoiset tarvitsevat työnhaun prosesseissaan. Näitä muita, kuin te-palveluita ovat ainakin sosiaalipalvelut, terveyspalvelut, kuntien työllisyyden hoidon palvelut ja nuorisotyön, Kelan, yksityisten palveluntuottajien, työterveyshuollon ja järjestöjen </w:t>
      </w:r>
      <w:r w:rsidR="00D53599" w:rsidRPr="00E768AD">
        <w:rPr>
          <w:rFonts w:cs="Times New Roman"/>
          <w:szCs w:val="24"/>
        </w:rPr>
        <w:t xml:space="preserve">palvelut </w:t>
      </w:r>
      <w:r w:rsidR="004E3238" w:rsidRPr="00E768AD">
        <w:rPr>
          <w:rFonts w:cs="Times New Roman"/>
          <w:szCs w:val="24"/>
        </w:rPr>
        <w:t>sekä</w:t>
      </w:r>
      <w:r w:rsidR="00D53599" w:rsidRPr="00E768AD">
        <w:rPr>
          <w:rFonts w:cs="Times New Roman"/>
          <w:szCs w:val="24"/>
        </w:rPr>
        <w:t xml:space="preserve"> erilaiset</w:t>
      </w:r>
      <w:r w:rsidR="004E3238" w:rsidRPr="00E768AD">
        <w:rPr>
          <w:rFonts w:cs="Times New Roman"/>
          <w:szCs w:val="24"/>
        </w:rPr>
        <w:t xml:space="preserve"> koulutuspalvelut. Lu</w:t>
      </w:r>
      <w:r w:rsidR="00934E69" w:rsidRPr="00E768AD">
        <w:rPr>
          <w:rFonts w:cs="Times New Roman"/>
          <w:szCs w:val="24"/>
        </w:rPr>
        <w:t>etellut palvelut muodostavat niin kutsutut</w:t>
      </w:r>
      <w:r w:rsidR="004E3238" w:rsidRPr="00E768AD">
        <w:rPr>
          <w:rFonts w:cs="Times New Roman"/>
          <w:szCs w:val="24"/>
        </w:rPr>
        <w:t xml:space="preserve"> työkykypalvelut, jotka osatyökykyisten palvelumahdollisuuksien kannalta näyttävät olevan hyvin hajallaan. (Oivo &amp; Kerätär 2018).</w:t>
      </w:r>
    </w:p>
    <w:p w:rsidR="00D53599" w:rsidRPr="00E768AD" w:rsidRDefault="00D53599" w:rsidP="00E768AD">
      <w:pPr>
        <w:spacing w:line="276" w:lineRule="auto"/>
        <w:jc w:val="both"/>
        <w:rPr>
          <w:rFonts w:cs="Times New Roman"/>
          <w:szCs w:val="24"/>
        </w:rPr>
      </w:pPr>
      <w:r w:rsidRPr="00E768AD">
        <w:rPr>
          <w:rFonts w:cs="Times New Roman"/>
          <w:szCs w:val="24"/>
        </w:rPr>
        <w:t xml:space="preserve">Työkykyyn on kiinnitetty huomiota myös </w:t>
      </w:r>
      <w:r w:rsidR="003552E1" w:rsidRPr="00E768AD">
        <w:rPr>
          <w:rFonts w:cs="Times New Roman"/>
          <w:szCs w:val="24"/>
        </w:rPr>
        <w:t xml:space="preserve">uudehkon ammattinimikkeen ja toimijan tuomisessa osaksi palvelujärjestelmää. </w:t>
      </w:r>
      <w:r w:rsidR="0074077B" w:rsidRPr="00E768AD">
        <w:rPr>
          <w:rFonts w:cs="Times New Roman"/>
          <w:szCs w:val="24"/>
        </w:rPr>
        <w:t>Työkykyk</w:t>
      </w:r>
      <w:r w:rsidR="003552E1" w:rsidRPr="00E768AD">
        <w:rPr>
          <w:rFonts w:cs="Times New Roman"/>
          <w:szCs w:val="24"/>
        </w:rPr>
        <w:t xml:space="preserve">oordinaattorin tärkein tehtävä on </w:t>
      </w:r>
      <w:r w:rsidR="0074077B" w:rsidRPr="00E768AD">
        <w:rPr>
          <w:rFonts w:cs="Times New Roman"/>
          <w:szCs w:val="24"/>
        </w:rPr>
        <w:t>toimia osatyökykyisen ja työnantajan kanssa. Työkykykoordinaattori on yhteistyössä</w:t>
      </w:r>
      <w:r w:rsidR="003552E1" w:rsidRPr="00E768AD">
        <w:rPr>
          <w:rFonts w:cs="Times New Roman"/>
          <w:szCs w:val="24"/>
        </w:rPr>
        <w:t xml:space="preserve"> eri toimijoiden kanssa ja </w:t>
      </w:r>
      <w:r w:rsidR="0074077B" w:rsidRPr="00E768AD">
        <w:rPr>
          <w:rFonts w:cs="Times New Roman"/>
          <w:szCs w:val="24"/>
        </w:rPr>
        <w:t xml:space="preserve">hän ohjaa </w:t>
      </w:r>
      <w:r w:rsidR="003552E1" w:rsidRPr="00E768AD">
        <w:rPr>
          <w:rFonts w:cs="Times New Roman"/>
          <w:szCs w:val="24"/>
        </w:rPr>
        <w:t xml:space="preserve">osatyökykyisen </w:t>
      </w:r>
      <w:r w:rsidR="0074077B" w:rsidRPr="00E768AD">
        <w:rPr>
          <w:rFonts w:cs="Times New Roman"/>
          <w:szCs w:val="24"/>
        </w:rPr>
        <w:t>työprosessissa.</w:t>
      </w:r>
      <w:r w:rsidR="003552E1" w:rsidRPr="00E768AD">
        <w:rPr>
          <w:rFonts w:cs="Times New Roman"/>
          <w:szCs w:val="24"/>
        </w:rPr>
        <w:t xml:space="preserve"> (Vuorento &amp; Terävä 2015.)</w:t>
      </w:r>
      <w:r w:rsidR="00091088" w:rsidRPr="00E768AD">
        <w:rPr>
          <w:rFonts w:cs="Times New Roman"/>
          <w:szCs w:val="24"/>
        </w:rPr>
        <w:t xml:space="preserve"> </w:t>
      </w:r>
      <w:r w:rsidR="00C07F44" w:rsidRPr="00E768AD">
        <w:rPr>
          <w:rFonts w:cs="Times New Roman"/>
          <w:szCs w:val="24"/>
        </w:rPr>
        <w:t xml:space="preserve">Kokemukset työkykykoordinaattoreiden käyttämisestä osatyökykyisten työllistymisessä osoittavat, että työkykykoordinaattoreiden toimijuus työtekijöiden ja työnantajien välillä sekä antamassa apua ja tukea on järkevä toimintamalli ja sovellettavissa laajemmin työpaikoilta myös </w:t>
      </w:r>
      <w:r w:rsidR="00DE16F5" w:rsidRPr="00E768AD">
        <w:rPr>
          <w:rFonts w:cs="Times New Roman"/>
          <w:szCs w:val="24"/>
        </w:rPr>
        <w:t>terveydenhuoltoon, järjestötyöhön sekä erilaisissa ja kokoisissa yrityksissä. (Nevala ym. 2015.)</w:t>
      </w:r>
    </w:p>
    <w:p w:rsidR="00FC78E9" w:rsidRPr="00E768AD" w:rsidRDefault="00FC78E9" w:rsidP="00E768AD">
      <w:pPr>
        <w:spacing w:line="276" w:lineRule="auto"/>
        <w:jc w:val="both"/>
        <w:rPr>
          <w:rFonts w:cs="Times New Roman"/>
          <w:szCs w:val="24"/>
        </w:rPr>
      </w:pPr>
      <w:r w:rsidRPr="00E768AD">
        <w:rPr>
          <w:rFonts w:cs="Times New Roman"/>
          <w:szCs w:val="24"/>
        </w:rPr>
        <w:t>Hallituksen esitys (211/2014) valmentavien koulutusten uudistuksesta seuraavia keskeisiä sisältöjä:</w:t>
      </w:r>
    </w:p>
    <w:p w:rsidR="00FC78E9" w:rsidRPr="00E768AD" w:rsidRDefault="00FC78E9" w:rsidP="00E768AD">
      <w:pPr>
        <w:pStyle w:val="Luettelokappale"/>
        <w:numPr>
          <w:ilvl w:val="0"/>
          <w:numId w:val="12"/>
        </w:numPr>
        <w:spacing w:line="276" w:lineRule="auto"/>
        <w:jc w:val="both"/>
        <w:rPr>
          <w:rFonts w:cs="Times New Roman"/>
          <w:i/>
          <w:szCs w:val="24"/>
        </w:rPr>
      </w:pPr>
      <w:r w:rsidRPr="00E768AD">
        <w:rPr>
          <w:rFonts w:cs="Times New Roman"/>
          <w:i/>
          <w:szCs w:val="24"/>
        </w:rPr>
        <w:t>”…luo perusopetuksen ja toisen asteen nivelvaiheeseen nykyistä selkeämmän yhden koulutuskokonaisuuden.”</w:t>
      </w:r>
    </w:p>
    <w:p w:rsidR="00FC78E9" w:rsidRPr="00E768AD" w:rsidRDefault="00FC78E9" w:rsidP="00E768AD">
      <w:pPr>
        <w:pStyle w:val="Luettelokappale"/>
        <w:numPr>
          <w:ilvl w:val="0"/>
          <w:numId w:val="12"/>
        </w:numPr>
        <w:spacing w:line="276" w:lineRule="auto"/>
        <w:jc w:val="both"/>
        <w:rPr>
          <w:rFonts w:cs="Times New Roman"/>
          <w:i/>
          <w:szCs w:val="24"/>
        </w:rPr>
      </w:pPr>
      <w:r w:rsidRPr="00E768AD">
        <w:rPr>
          <w:rFonts w:cs="Times New Roman"/>
          <w:i/>
          <w:szCs w:val="24"/>
        </w:rPr>
        <w:lastRenderedPageBreak/>
        <w:t xml:space="preserve">”…mahdollisimman monella nuorella olisi perusasteen jälkeinen ammatillinen tutkinto.” </w:t>
      </w:r>
    </w:p>
    <w:p w:rsidR="00FC78E9" w:rsidRPr="00E768AD" w:rsidRDefault="00FC78E9" w:rsidP="00E768AD">
      <w:pPr>
        <w:pStyle w:val="Luettelokappale"/>
        <w:numPr>
          <w:ilvl w:val="0"/>
          <w:numId w:val="12"/>
        </w:numPr>
        <w:spacing w:line="276" w:lineRule="auto"/>
        <w:jc w:val="both"/>
        <w:rPr>
          <w:rFonts w:cs="Times New Roman"/>
          <w:szCs w:val="24"/>
        </w:rPr>
      </w:pPr>
      <w:r w:rsidRPr="00E768AD">
        <w:rPr>
          <w:rFonts w:cs="Times New Roman"/>
          <w:i/>
          <w:szCs w:val="24"/>
        </w:rPr>
        <w:t>”Järjestelmän selkeyttäminen ja sujuvien siirtymämahdollisuuksien luominen myös vähentää tarpeetonta päällekkäistä koulutusta ja lyhentää koulutukseen käytettyä kokonaisaikaa, mikä lisää osaavan työvoiman saatavuutta ja tukee työurien pidentymistä.”</w:t>
      </w:r>
    </w:p>
    <w:p w:rsidR="009D173F" w:rsidRDefault="00FC78E9" w:rsidP="009D173F">
      <w:pPr>
        <w:spacing w:line="276" w:lineRule="auto"/>
        <w:jc w:val="both"/>
        <w:rPr>
          <w:rFonts w:cs="Times New Roman"/>
          <w:szCs w:val="24"/>
        </w:rPr>
      </w:pPr>
      <w:r w:rsidRPr="00E768AD">
        <w:rPr>
          <w:rFonts w:cs="Times New Roman"/>
          <w:szCs w:val="24"/>
        </w:rPr>
        <w:t xml:space="preserve">Tässä esityksessä (211/2014) valmentavien koulutuksen uudistuksella tavoiteltiin selkeämpää rakennetta, ammatillisen tutkinnon yleistymistä sekä sujuvia siirtymämahdollisuuksia. Tutkimuksen valossa on ollut kuitenkin kyseenalaista, missä määrin nämä tavoitteet toteutuvat erityisesti TELMA-koulutuksen kohdalla (ks. Niemi 2015).  </w:t>
      </w:r>
      <w:r w:rsidR="005B088D" w:rsidRPr="00E768AD">
        <w:rPr>
          <w:rFonts w:cs="Times New Roman"/>
          <w:szCs w:val="24"/>
        </w:rPr>
        <w:t>TELMA-koulutus selvästikin hakee vielä muotoaan valmentavaa ja työelämää korostavan toiminn</w:t>
      </w:r>
      <w:r w:rsidR="009C08C7">
        <w:rPr>
          <w:rFonts w:cs="Times New Roman"/>
          <w:szCs w:val="24"/>
        </w:rPr>
        <w:t>an välimaastossa (Miettinen 2020</w:t>
      </w:r>
      <w:bookmarkStart w:id="2" w:name="_GoBack"/>
      <w:bookmarkEnd w:id="2"/>
      <w:r w:rsidR="005B088D" w:rsidRPr="00E768AD">
        <w:rPr>
          <w:rFonts w:cs="Times New Roman"/>
          <w:szCs w:val="24"/>
        </w:rPr>
        <w:t>).</w:t>
      </w:r>
    </w:p>
    <w:p w:rsidR="00AB293C" w:rsidRPr="009D173F" w:rsidRDefault="00F64943" w:rsidP="009D173F">
      <w:pPr>
        <w:spacing w:line="276" w:lineRule="auto"/>
        <w:jc w:val="both"/>
        <w:rPr>
          <w:rFonts w:cs="Times New Roman"/>
          <w:b/>
          <w:szCs w:val="24"/>
        </w:rPr>
      </w:pPr>
      <w:r w:rsidRPr="009D173F">
        <w:rPr>
          <w:rFonts w:cs="Times New Roman"/>
          <w:b/>
          <w:szCs w:val="24"/>
        </w:rPr>
        <w:t>Johtopäätöksiä</w:t>
      </w:r>
    </w:p>
    <w:p w:rsidR="001723D3" w:rsidRPr="00E768AD" w:rsidRDefault="001723D3" w:rsidP="00E768AD">
      <w:pPr>
        <w:spacing w:line="276" w:lineRule="auto"/>
        <w:jc w:val="both"/>
        <w:rPr>
          <w:rFonts w:cs="Times New Roman"/>
          <w:szCs w:val="24"/>
        </w:rPr>
      </w:pPr>
      <w:r w:rsidRPr="00E768AD">
        <w:rPr>
          <w:rFonts w:cs="Times New Roman"/>
          <w:szCs w:val="24"/>
        </w:rPr>
        <w:t>Ammatillisen erityisopetuksen kehittäminen, lainsäädäntö ja käytännön kokemukset osoittavat, että koulutukseen panostaminen suomalaisessa yhteiskunnassa on yksi keskeisimmästä jatkuvan kehittämisen osa-alueista. Työhönvalmennus, opinnollistaminen ja valmentava koulutus ovat tällä hetkellä keskeisiä teemoja, joita kehitetään ammatillisen erityisopetuksen ja sen työelämäsidoksen varmistamiseksi.</w:t>
      </w:r>
    </w:p>
    <w:p w:rsidR="007F0F42" w:rsidRPr="00E768AD" w:rsidRDefault="001723D3" w:rsidP="00E768AD">
      <w:pPr>
        <w:spacing w:line="276" w:lineRule="auto"/>
        <w:jc w:val="both"/>
        <w:rPr>
          <w:rFonts w:cs="Times New Roman"/>
          <w:szCs w:val="24"/>
        </w:rPr>
      </w:pPr>
      <w:r w:rsidRPr="00E768AD">
        <w:rPr>
          <w:rFonts w:cs="Times New Roman"/>
          <w:szCs w:val="24"/>
        </w:rPr>
        <w:t>Työhönvalmennus</w:t>
      </w:r>
      <w:r w:rsidR="005870A4" w:rsidRPr="00E768AD">
        <w:rPr>
          <w:rFonts w:cs="Times New Roman"/>
          <w:szCs w:val="24"/>
        </w:rPr>
        <w:t xml:space="preserve"> kiinnittäytyy tutkimusten mukaan vahvasti juuri ammatillisen koulutuksen ja työmarkkinoille siirtymisen vaiheeseen. Ammatillisen koulutuksen jälkeen on keskeisenä kysymyksenä, kuinka henkilön oma aktiivisuus ja perheen tuki, työvalmennus, työnantajan ja työyhteisön tuki ja työn arvostaminen sekä työympäristön kehittäminen toimivat. Tässä moniulotteisessa kentässä työhönvalmentajan rooli moniosaajana on havaittu useassa tutkimuksessa välttämättömäksi. </w:t>
      </w:r>
      <w:r w:rsidR="00A5335F" w:rsidRPr="00E768AD">
        <w:rPr>
          <w:rFonts w:cs="Times New Roman"/>
          <w:szCs w:val="24"/>
        </w:rPr>
        <w:t xml:space="preserve">Tilanteen hajanaisuutta implikoi kuitenkin epäyhteneväinen käsitteistön käyttö. Joskus käytetään nimikettä työvalmentaja, työhönvalmentaja ja myös työkykykoordinaattorin nimikettä. Yksi tapa jäsentää tätä epämääräisyyttä on erotella edes työhönvalmentajan ja työvalmentajan </w:t>
      </w:r>
      <w:r w:rsidR="008A414A" w:rsidRPr="00E768AD">
        <w:rPr>
          <w:rFonts w:cs="Times New Roman"/>
          <w:szCs w:val="24"/>
        </w:rPr>
        <w:t>tehtävät edes osittain toisistaa</w:t>
      </w:r>
      <w:r w:rsidR="00764E98" w:rsidRPr="00E768AD">
        <w:rPr>
          <w:rFonts w:cs="Times New Roman"/>
          <w:szCs w:val="24"/>
        </w:rPr>
        <w:t>n</w:t>
      </w:r>
      <w:r w:rsidR="008A414A" w:rsidRPr="00E768AD">
        <w:rPr>
          <w:rFonts w:cs="Times New Roman"/>
          <w:szCs w:val="24"/>
        </w:rPr>
        <w:t>. Työhönvalmennuksella voidaan ymmärtää valmennusta, joka tapahtuu ennen työn saantia ja työvalmennuksella työssä saatavaa valmennusta</w:t>
      </w:r>
      <w:r w:rsidR="004C2427" w:rsidRPr="00E768AD">
        <w:rPr>
          <w:rFonts w:cs="Times New Roman"/>
          <w:szCs w:val="24"/>
        </w:rPr>
        <w:t xml:space="preserve">. Työkykykoordinaattorilla tarkoitetaan </w:t>
      </w:r>
      <w:r w:rsidR="00764E98" w:rsidRPr="00E768AD">
        <w:rPr>
          <w:rFonts w:cs="Times New Roman"/>
          <w:szCs w:val="24"/>
        </w:rPr>
        <w:t>hyvin samantyyppisiin työtehtäviin keskittynyttä henkilöä, mutta myös työntekijöiden työkyvyn ylläpitoon o</w:t>
      </w:r>
      <w:r w:rsidR="007F0F42" w:rsidRPr="00E768AD">
        <w:rPr>
          <w:rFonts w:cs="Times New Roman"/>
          <w:szCs w:val="24"/>
        </w:rPr>
        <w:t xml:space="preserve">sallistuvaa henkilö. </w:t>
      </w:r>
    </w:p>
    <w:p w:rsidR="001723D3" w:rsidRPr="00E768AD" w:rsidRDefault="001723D3" w:rsidP="00E768AD">
      <w:pPr>
        <w:spacing w:line="276" w:lineRule="auto"/>
        <w:jc w:val="both"/>
        <w:rPr>
          <w:rFonts w:cs="Times New Roman"/>
          <w:szCs w:val="24"/>
        </w:rPr>
      </w:pPr>
      <w:r w:rsidRPr="00E768AD">
        <w:rPr>
          <w:rFonts w:cs="Times New Roman"/>
          <w:szCs w:val="24"/>
        </w:rPr>
        <w:t xml:space="preserve">Kuitenkin 2010-luvun jälkipuoliskolla on </w:t>
      </w:r>
      <w:r w:rsidR="007F0F42" w:rsidRPr="00E768AD">
        <w:rPr>
          <w:rFonts w:cs="Times New Roman"/>
          <w:szCs w:val="24"/>
        </w:rPr>
        <w:t xml:space="preserve">ollut </w:t>
      </w:r>
      <w:r w:rsidRPr="00E768AD">
        <w:rPr>
          <w:rFonts w:cs="Times New Roman"/>
          <w:szCs w:val="24"/>
        </w:rPr>
        <w:t>havaittavissa</w:t>
      </w:r>
      <w:r w:rsidR="007F0F42" w:rsidRPr="00E768AD">
        <w:rPr>
          <w:rFonts w:cs="Times New Roman"/>
          <w:szCs w:val="24"/>
        </w:rPr>
        <w:t xml:space="preserve"> ammatillisen erityisopetuksen ja </w:t>
      </w:r>
      <w:r w:rsidR="00F64943" w:rsidRPr="00E768AD">
        <w:rPr>
          <w:rFonts w:cs="Times New Roman"/>
          <w:szCs w:val="24"/>
        </w:rPr>
        <w:t>työelämäosalli</w:t>
      </w:r>
      <w:r w:rsidR="007A1396" w:rsidRPr="00E768AD">
        <w:rPr>
          <w:rFonts w:cs="Times New Roman"/>
          <w:szCs w:val="24"/>
        </w:rPr>
        <w:t xml:space="preserve">suutta tukevan toiminnan piirissä sellaisia ilmiöitä ja mekanismeja, jotka eivät kuitenkaan edistä asetettuja tavoitteita. Tällainen pysähtyneisyyttä kuvaava ilmiö on niin sanottu pyöröovi-efekti, jolla tässä yhteydessä tarkoitetaan </w:t>
      </w:r>
      <w:r w:rsidR="008F4640" w:rsidRPr="00E768AD">
        <w:rPr>
          <w:rFonts w:cs="Times New Roman"/>
          <w:szCs w:val="24"/>
        </w:rPr>
        <w:t>sitä, että opiskelija useita kertoja keskeyttää ja aloittaa alusta uuden ammatillisen tutkinnon suorittamisen riittämättömän tai puutteellisen opinto-ohjauksen takia. Vaikka opiskelija saisikin ammatillisen erityisopetuksen opiskelustaan ammattitutkinnon, niin hän saattaa mennä sen jälkeen työkeskukseen tai avotyötoimintaan, jolloin ammatillisesta tutkinnosta ei juurikaan ole ollut hyötyä hänelle. Toiseksi yksittäiset</w:t>
      </w:r>
      <w:r w:rsidR="007A1396" w:rsidRPr="00E768AD">
        <w:rPr>
          <w:rFonts w:cs="Times New Roman"/>
          <w:szCs w:val="24"/>
        </w:rPr>
        <w:t xml:space="preserve"> </w:t>
      </w:r>
      <w:r w:rsidR="008F4640" w:rsidRPr="00E768AD">
        <w:rPr>
          <w:rFonts w:cs="Times New Roman"/>
          <w:szCs w:val="24"/>
        </w:rPr>
        <w:t xml:space="preserve">projektit ammatillisesta koulutuksesta työelämään eivät riittävästi tuota systemaattista tietoa siitä, mitkä ovat keskeisimpiä ongelmakohtia näissä prosesseissa. </w:t>
      </w:r>
      <w:r w:rsidR="000C279E" w:rsidRPr="00E768AD">
        <w:rPr>
          <w:rFonts w:cs="Times New Roman"/>
          <w:szCs w:val="24"/>
        </w:rPr>
        <w:t xml:space="preserve">Ammatilliseen koulutukseen pääsy, opiskelu ja palkkatyön saavuttaminen ovat itsessään ja </w:t>
      </w:r>
      <w:r w:rsidR="000C279E" w:rsidRPr="00E768AD">
        <w:rPr>
          <w:rFonts w:cs="Times New Roman"/>
          <w:szCs w:val="24"/>
        </w:rPr>
        <w:lastRenderedPageBreak/>
        <w:t xml:space="preserve">nivelvaiheissaan tai siirtymissään aina suuria riskejä epäonnistumiseen. Siksi tarvittava systemaattinen tieto hyödyttäisi opiskelijoita ja kaikkia alan toimijoita ruohonjuuritasolta poliittisiin päätöksentekijöihin, politiikan vaikuttavuusohjelmiin ja kaikkiaan uudenlaiseen työvoimapolitiikkaan. </w:t>
      </w:r>
    </w:p>
    <w:p w:rsidR="00936D3D" w:rsidRPr="00C34424" w:rsidRDefault="00AB293C" w:rsidP="00E768AD">
      <w:pPr>
        <w:pStyle w:val="Otsikko1"/>
        <w:spacing w:line="276" w:lineRule="auto"/>
        <w:jc w:val="both"/>
        <w:rPr>
          <w:rFonts w:cs="Times New Roman"/>
          <w:sz w:val="24"/>
          <w:szCs w:val="24"/>
        </w:rPr>
      </w:pPr>
      <w:bookmarkStart w:id="3" w:name="_Toc527095067"/>
      <w:r w:rsidRPr="00C34424">
        <w:rPr>
          <w:rFonts w:cs="Times New Roman"/>
          <w:sz w:val="24"/>
          <w:szCs w:val="24"/>
        </w:rPr>
        <w:t>Kirjallisuus</w:t>
      </w:r>
      <w:bookmarkEnd w:id="3"/>
    </w:p>
    <w:p w:rsidR="009D173F" w:rsidRPr="00C34424" w:rsidRDefault="009D173F" w:rsidP="009D173F"/>
    <w:p w:rsidR="007F1F25" w:rsidRPr="007F1F25" w:rsidRDefault="007F1F25" w:rsidP="00E768AD">
      <w:pPr>
        <w:pStyle w:val="Kirjallisuusluettelo"/>
        <w:spacing w:line="276" w:lineRule="auto"/>
        <w:jc w:val="both"/>
        <w:rPr>
          <w:szCs w:val="24"/>
          <w:lang w:val="en-US"/>
        </w:rPr>
      </w:pPr>
      <w:r w:rsidRPr="007F1F25">
        <w:rPr>
          <w:szCs w:val="24"/>
        </w:rPr>
        <w:t xml:space="preserve">Aro, Mikko. 2014. Koulutusinflaatio. Koulutusekspansio ja koulutuksen arvo Suomessa 1970–2008. </w:t>
      </w:r>
      <w:r w:rsidRPr="007F1F25">
        <w:rPr>
          <w:szCs w:val="24"/>
          <w:lang w:val="en-US"/>
        </w:rPr>
        <w:t>Turku: Turun yliopiston julkaisuja C 376.</w:t>
      </w:r>
    </w:p>
    <w:p w:rsidR="0034388D" w:rsidRPr="00E768AD" w:rsidRDefault="0034388D" w:rsidP="00E768AD">
      <w:pPr>
        <w:pStyle w:val="Kirjallisuusluettelo"/>
        <w:spacing w:line="276" w:lineRule="auto"/>
        <w:jc w:val="both"/>
        <w:rPr>
          <w:rFonts w:cs="Times New Roman"/>
          <w:szCs w:val="24"/>
          <w:lang w:val="en-US"/>
        </w:rPr>
      </w:pPr>
      <w:r w:rsidRPr="00E768AD">
        <w:rPr>
          <w:rFonts w:cs="Times New Roman"/>
          <w:szCs w:val="24"/>
          <w:lang w:val="en-US"/>
        </w:rPr>
        <w:t>Avis, James (2004) Work-based learning and social justice: ’learning to labour’ and the new vocationalism in England. Journal of Education and Work, 17(2), 197–217.</w:t>
      </w:r>
    </w:p>
    <w:p w:rsidR="00E77E09" w:rsidRPr="00E768AD" w:rsidRDefault="00E77E09" w:rsidP="00E768AD">
      <w:pPr>
        <w:pStyle w:val="Kirjallisuusluettelo"/>
        <w:spacing w:line="276" w:lineRule="auto"/>
        <w:jc w:val="both"/>
        <w:rPr>
          <w:rFonts w:cs="Times New Roman"/>
          <w:szCs w:val="24"/>
          <w:lang w:val="en-US"/>
        </w:rPr>
      </w:pPr>
      <w:r w:rsidRPr="00E768AD">
        <w:rPr>
          <w:rFonts w:cs="Times New Roman"/>
          <w:szCs w:val="24"/>
          <w:lang w:val="en-US"/>
        </w:rPr>
        <w:t>Bellman, Scott, Burgstahler, Sheryl &amp; Ladner, Richard (2014) Work-based learning experiences help students with disabilities transition to careers: A case study of University of Washington projects. Work, 48(3), 399–405.</w:t>
      </w:r>
    </w:p>
    <w:p w:rsidR="00B5720C" w:rsidRPr="00E768AD" w:rsidRDefault="00B5720C" w:rsidP="00E768AD">
      <w:pPr>
        <w:pStyle w:val="Kirjallisuusluettelo"/>
        <w:spacing w:line="276" w:lineRule="auto"/>
        <w:jc w:val="both"/>
        <w:rPr>
          <w:rFonts w:cs="Times New Roman"/>
          <w:szCs w:val="24"/>
          <w:lang w:val="en-US"/>
        </w:rPr>
      </w:pPr>
      <w:r w:rsidRPr="00E768AD">
        <w:rPr>
          <w:rFonts w:cs="Times New Roman"/>
          <w:szCs w:val="24"/>
          <w:lang w:val="en-US"/>
        </w:rPr>
        <w:t>Bond, R. Gary (2004) Supported employment: eviden</w:t>
      </w:r>
      <w:r w:rsidR="00CF7F45" w:rsidRPr="00E768AD">
        <w:rPr>
          <w:rFonts w:cs="Times New Roman"/>
          <w:szCs w:val="24"/>
          <w:lang w:val="en-US"/>
        </w:rPr>
        <w:t>c</w:t>
      </w:r>
      <w:r w:rsidRPr="00E768AD">
        <w:rPr>
          <w:rFonts w:cs="Times New Roman"/>
          <w:szCs w:val="24"/>
          <w:lang w:val="en-US"/>
        </w:rPr>
        <w:t>e for evidence based practice. Psychiatric Rehabilitation Journal 27(4), 345–359.</w:t>
      </w:r>
    </w:p>
    <w:p w:rsidR="00B5720C" w:rsidRDefault="00B5720C" w:rsidP="00E768AD">
      <w:pPr>
        <w:pStyle w:val="Kirjallisuusluettelo"/>
        <w:spacing w:line="276" w:lineRule="auto"/>
        <w:jc w:val="both"/>
        <w:rPr>
          <w:rFonts w:cs="Times New Roman"/>
          <w:szCs w:val="24"/>
        </w:rPr>
      </w:pPr>
      <w:r w:rsidRPr="00E768AD">
        <w:rPr>
          <w:rFonts w:cs="Times New Roman"/>
          <w:szCs w:val="24"/>
          <w:lang w:val="en-US"/>
        </w:rPr>
        <w:t xml:space="preserve">Bond, R. Gary, Drake, E. Robert &amp; Becker R. Deborah (2008) An update on randomized controlled trials of evidence-based supported employment. </w:t>
      </w:r>
      <w:r w:rsidRPr="00E768AD">
        <w:rPr>
          <w:rFonts w:cs="Times New Roman"/>
          <w:szCs w:val="24"/>
        </w:rPr>
        <w:t>Psychiatric Rehabilitation Journal 31(4), 280–290.</w:t>
      </w:r>
    </w:p>
    <w:p w:rsidR="00C32519" w:rsidRDefault="00C32519" w:rsidP="00E768AD">
      <w:pPr>
        <w:pStyle w:val="Kirjallisuusluettelo"/>
        <w:spacing w:line="276" w:lineRule="auto"/>
        <w:jc w:val="both"/>
      </w:pPr>
      <w:r>
        <w:t xml:space="preserve">Ekholm, E. &amp; Teittinen. A. (2014) </w:t>
      </w:r>
      <w:r w:rsidRPr="00C32519">
        <w:t>Vammaiset nuoret ja työntekijäkansalaisuus. Osallistumisen esteitä ja edellytyksiä</w:t>
      </w:r>
      <w:r>
        <w:t>. Sosiaali- ja terveysturvan tutkimuksia 133. Kansaneläkelaitoksen tutkimusosasto. Helsinki.</w:t>
      </w:r>
    </w:p>
    <w:p w:rsidR="00B94F2C" w:rsidRDefault="00B94F2C" w:rsidP="00E768AD">
      <w:pPr>
        <w:pStyle w:val="Kirjallisuusluettelo"/>
        <w:spacing w:line="276" w:lineRule="auto"/>
        <w:jc w:val="both"/>
      </w:pPr>
      <w:r w:rsidRPr="00B94F2C">
        <w:rPr>
          <w:lang w:val="en-US"/>
        </w:rPr>
        <w:t xml:space="preserve">Haber, M. G., Mazzotti, V. L., Mustian, A. L., Rowe, D. A., Bartholomew, A. L., &amp; Fowler, C. H. (2015). What works, when, for whom, and with whom: A meta-analytic review of predictors of postsecondary success for students with disabilities. </w:t>
      </w:r>
      <w:r>
        <w:rPr>
          <w:rStyle w:val="Korostus"/>
        </w:rPr>
        <w:t>Review of Educational Research</w:t>
      </w:r>
      <w:r>
        <w:t>.</w:t>
      </w:r>
    </w:p>
    <w:p w:rsidR="0057575A" w:rsidRDefault="0057575A" w:rsidP="00E768AD">
      <w:pPr>
        <w:pStyle w:val="Kirjallisuusluettelo"/>
        <w:spacing w:line="276" w:lineRule="auto"/>
        <w:jc w:val="both"/>
      </w:pPr>
      <w:r>
        <w:t xml:space="preserve">Hakala, </w:t>
      </w:r>
      <w:r>
        <w:t xml:space="preserve">Katariina, </w:t>
      </w:r>
      <w:r>
        <w:t>Mietola</w:t>
      </w:r>
      <w:r>
        <w:t xml:space="preserve">, Reetta &amp; </w:t>
      </w:r>
      <w:r>
        <w:t>Teittinen</w:t>
      </w:r>
      <w:r>
        <w:t>, Antti</w:t>
      </w:r>
      <w:r>
        <w:t xml:space="preserve"> (2013). Valinta ja valikointi ammatillisessa erityisopetuksessa. Teoksessa: Kristiina Brunila, Katariina Hakala, Elina Lahelma &amp; Antti Teittinen (toim.) (2013). Ammatillinen koulutus ja yhteiskunn</w:t>
      </w:r>
      <w:r>
        <w:t xml:space="preserve">alliset eronteot. Gaudeamus, </w:t>
      </w:r>
      <w:r>
        <w:t>173–200.</w:t>
      </w:r>
    </w:p>
    <w:p w:rsidR="00862214" w:rsidRPr="00862214" w:rsidRDefault="00862214" w:rsidP="00862214">
      <w:pPr>
        <w:pStyle w:val="Otsikko1"/>
        <w:rPr>
          <w:b w:val="0"/>
          <w:sz w:val="24"/>
          <w:szCs w:val="24"/>
        </w:rPr>
      </w:pPr>
      <w:r w:rsidRPr="00862214">
        <w:rPr>
          <w:b w:val="0"/>
          <w:sz w:val="24"/>
          <w:szCs w:val="24"/>
        </w:rPr>
        <w:lastRenderedPageBreak/>
        <w:t xml:space="preserve">HE 211/2014. </w:t>
      </w:r>
      <w:r w:rsidRPr="00862214">
        <w:rPr>
          <w:b w:val="0"/>
          <w:sz w:val="24"/>
          <w:szCs w:val="24"/>
        </w:rPr>
        <w:t>Hallituksen esitys eduskunnalle laeiksi ammatillisesta peruskoulutuksesta annetun lain, ammatillisesta aikuiskoulutuksesta annetun lain 11 §:n, opetus- ja kulttuuritoimen rahoituksesta annetun lain 25 §:n ja opintotukilain 7 §:n muuttamisesta</w:t>
      </w:r>
    </w:p>
    <w:p w:rsidR="00862214" w:rsidRDefault="00862214" w:rsidP="00E768AD">
      <w:pPr>
        <w:pStyle w:val="Kirjallisuusluettelo"/>
        <w:spacing w:line="276" w:lineRule="auto"/>
        <w:jc w:val="both"/>
        <w:rPr>
          <w:rFonts w:cs="Times New Roman"/>
          <w:szCs w:val="24"/>
        </w:rPr>
      </w:pPr>
    </w:p>
    <w:p w:rsidR="00B62C74" w:rsidRPr="00E768AD" w:rsidRDefault="00B62C74" w:rsidP="00E768AD">
      <w:pPr>
        <w:pStyle w:val="Kirjallisuusluettelo"/>
        <w:spacing w:line="276" w:lineRule="auto"/>
        <w:jc w:val="both"/>
        <w:rPr>
          <w:rFonts w:cs="Times New Roman"/>
          <w:szCs w:val="24"/>
        </w:rPr>
      </w:pPr>
      <w:r w:rsidRPr="00E768AD">
        <w:rPr>
          <w:rFonts w:cs="Times New Roman"/>
          <w:szCs w:val="24"/>
        </w:rPr>
        <w:t>Hiilamo, Heikki, Määttä, Anne, Koskenvuo, Karoliina, Pyykkönen, Jussi, Räsänen, Tapio &amp; Aaltonen, Sanna (2017) Nuorten osallisuuden edistäminen: Selvitysmiehen raportti. Diak puheenvuoro 11, Diakonia-ammattikorkeakoulu. &lt;http://urn.fi/URN:ISBN:978-952-493-298-1&gt;</w:t>
      </w:r>
      <w:r w:rsidR="00F46B65" w:rsidRPr="00E768AD">
        <w:rPr>
          <w:rFonts w:cs="Times New Roman"/>
          <w:szCs w:val="24"/>
        </w:rPr>
        <w:t xml:space="preserve"> </w:t>
      </w:r>
      <w:r w:rsidR="00800B10" w:rsidRPr="00E768AD">
        <w:rPr>
          <w:rFonts w:cs="Times New Roman"/>
          <w:szCs w:val="24"/>
        </w:rPr>
        <w:t>(10.10.2018)</w:t>
      </w:r>
    </w:p>
    <w:p w:rsidR="00000F77" w:rsidRPr="00E768AD" w:rsidRDefault="00000F77" w:rsidP="00E768AD">
      <w:pPr>
        <w:pStyle w:val="Kirjallisuusluettelo"/>
        <w:spacing w:line="276" w:lineRule="auto"/>
        <w:jc w:val="both"/>
        <w:rPr>
          <w:rFonts w:cs="Times New Roman"/>
          <w:szCs w:val="24"/>
        </w:rPr>
      </w:pPr>
      <w:r w:rsidRPr="00E768AD">
        <w:rPr>
          <w:rFonts w:cs="Times New Roman"/>
          <w:szCs w:val="24"/>
        </w:rPr>
        <w:t xml:space="preserve">Härkäpää, Kristiina, Harkko, Jaakko &amp; Lehikoinen, Tuula (2013) Työhönvalmennus ja sen kehittämistarpeet. Sosiaali- ja terveysturvan tutkimuksia 128/2013. </w:t>
      </w:r>
      <w:r w:rsidR="00AD05B3" w:rsidRPr="00E768AD">
        <w:rPr>
          <w:rFonts w:cs="Times New Roman"/>
          <w:szCs w:val="24"/>
        </w:rPr>
        <w:t>Helsinki: Kela. &lt;https://helda.helsinki.fi/bitstream/handle/10138/42487/Tutkimuksia128.pdf?sequence=4&gt;</w:t>
      </w:r>
      <w:r w:rsidR="00611F70" w:rsidRPr="00E768AD">
        <w:rPr>
          <w:rFonts w:cs="Times New Roman"/>
          <w:szCs w:val="24"/>
        </w:rPr>
        <w:t xml:space="preserve"> (10.10.2018)</w:t>
      </w:r>
    </w:p>
    <w:p w:rsidR="00144AAD" w:rsidRPr="00E768AD" w:rsidRDefault="00144AAD" w:rsidP="00E768AD">
      <w:pPr>
        <w:pStyle w:val="Kirjallisuusluettelo"/>
        <w:spacing w:line="276" w:lineRule="auto"/>
        <w:jc w:val="both"/>
        <w:rPr>
          <w:rFonts w:cs="Times New Roman"/>
          <w:szCs w:val="24"/>
        </w:rPr>
      </w:pPr>
      <w:r w:rsidRPr="00E768AD">
        <w:rPr>
          <w:rFonts w:cs="Times New Roman"/>
          <w:szCs w:val="24"/>
        </w:rPr>
        <w:t>Laki ammatillisesta koulutuksesta 531/2017. &lt;https://www.finlex.fi/fi/laki/alkup/2017/20170531&gt; (10.10.2018)</w:t>
      </w:r>
    </w:p>
    <w:p w:rsidR="00144052" w:rsidRPr="00E768AD" w:rsidRDefault="00144052" w:rsidP="00E768AD">
      <w:pPr>
        <w:pStyle w:val="Kirjallisuusluettelo"/>
        <w:spacing w:line="276" w:lineRule="auto"/>
        <w:jc w:val="both"/>
        <w:rPr>
          <w:rFonts w:cs="Times New Roman"/>
          <w:szCs w:val="24"/>
        </w:rPr>
      </w:pPr>
      <w:r w:rsidRPr="00E768AD">
        <w:rPr>
          <w:rFonts w:cs="Times New Roman"/>
          <w:szCs w:val="24"/>
        </w:rPr>
        <w:t>Kemppinen, Anna &amp; Leppänen, Kristiina (2014) Ryhmämuotoinen työhönvalmennus. Silta työhön -projekti 2012–2014. Helsinki: Aspa-säätiö. &lt;http://www.oikeitatoita.fi/sites/default/files/Tyohonvalmennusopas.pdf&gt;</w:t>
      </w:r>
      <w:r w:rsidR="00FE5E6F" w:rsidRPr="00E768AD">
        <w:rPr>
          <w:rFonts w:cs="Times New Roman"/>
          <w:szCs w:val="24"/>
        </w:rPr>
        <w:t xml:space="preserve"> (10.10.2018)</w:t>
      </w:r>
    </w:p>
    <w:p w:rsidR="00B25979" w:rsidRDefault="00AD05B3" w:rsidP="00B25979">
      <w:pPr>
        <w:pStyle w:val="Kirjallisuusluettelo"/>
        <w:spacing w:line="276" w:lineRule="auto"/>
        <w:jc w:val="both"/>
        <w:rPr>
          <w:rFonts w:cs="Times New Roman"/>
          <w:szCs w:val="24"/>
        </w:rPr>
      </w:pPr>
      <w:r w:rsidRPr="00E768AD">
        <w:rPr>
          <w:rFonts w:cs="Times New Roman"/>
          <w:szCs w:val="24"/>
        </w:rPr>
        <w:t xml:space="preserve">Klem, Simo (2013) Työllistymistä tukeva toiminta, työtoiminta ja työhönvalmennus sosiaalihuollossa. Sosiaali- ja terveysministeriön raportteja ja muistioita 23/2013. Helsinki: Sosiaali- ja terveysministeriö. </w:t>
      </w:r>
      <w:r w:rsidR="00650926" w:rsidRPr="00E768AD">
        <w:rPr>
          <w:rFonts w:cs="Times New Roman"/>
          <w:szCs w:val="24"/>
        </w:rPr>
        <w:t>&lt;</w:t>
      </w:r>
      <w:r w:rsidR="007F2EFD" w:rsidRPr="00E768AD">
        <w:rPr>
          <w:rFonts w:cs="Times New Roman"/>
          <w:szCs w:val="24"/>
        </w:rPr>
        <w:t>https://www.vates.fi/media/tutkimustietoa/tutkimukset/rap_2013_23_kuntakartoitus_verkko.pdf</w:t>
      </w:r>
      <w:r w:rsidR="00650926" w:rsidRPr="00E768AD">
        <w:rPr>
          <w:rFonts w:cs="Times New Roman"/>
          <w:szCs w:val="24"/>
        </w:rPr>
        <w:t>&gt;</w:t>
      </w:r>
      <w:r w:rsidR="00566796" w:rsidRPr="00E768AD">
        <w:rPr>
          <w:rFonts w:cs="Times New Roman"/>
          <w:szCs w:val="24"/>
        </w:rPr>
        <w:t xml:space="preserve"> (10.10.2018)</w:t>
      </w:r>
    </w:p>
    <w:p w:rsidR="003853D1" w:rsidRDefault="003853D1" w:rsidP="00B25979">
      <w:pPr>
        <w:pStyle w:val="Kirjallisuusluettelo"/>
        <w:spacing w:line="276" w:lineRule="auto"/>
        <w:jc w:val="both"/>
        <w:rPr>
          <w:rFonts w:cs="Times New Roman"/>
          <w:szCs w:val="24"/>
        </w:rPr>
      </w:pPr>
      <w:r>
        <w:rPr>
          <w:rFonts w:cs="Times New Roman"/>
          <w:szCs w:val="24"/>
        </w:rPr>
        <w:t>Miettinen, Sonja (2020) Erityiset nuoret työhön oppimassa – tapaustutkimus työelämälähtöisestä opiskelusta ammatillisessa erityisopetuksessa. Kehitysvammaliiton selvityksiä (tulossa).</w:t>
      </w:r>
    </w:p>
    <w:p w:rsidR="00C0255D" w:rsidRDefault="00922682" w:rsidP="00922682">
      <w:pPr>
        <w:pStyle w:val="Kirjallisuusluettelo"/>
        <w:spacing w:line="276" w:lineRule="auto"/>
        <w:jc w:val="both"/>
        <w:rPr>
          <w:szCs w:val="24"/>
          <w:lang w:val="en-US"/>
        </w:rPr>
      </w:pPr>
      <w:r w:rsidRPr="00922682">
        <w:rPr>
          <w:rFonts w:cs="Times New Roman"/>
          <w:szCs w:val="24"/>
          <w:lang w:val="en-US"/>
        </w:rPr>
        <w:t xml:space="preserve">Mooneyand, Marianne &amp; Scholl, Linda (2004) </w:t>
      </w:r>
      <w:r w:rsidRPr="00922682">
        <w:rPr>
          <w:szCs w:val="24"/>
          <w:lang w:val="en-US"/>
        </w:rPr>
        <w:t>Students with Disabilities in Youth Apprenticeship Programs: Supports and Accommodations</w:t>
      </w:r>
      <w:r>
        <w:rPr>
          <w:szCs w:val="24"/>
          <w:lang w:val="en-US"/>
        </w:rPr>
        <w:t xml:space="preserve">. </w:t>
      </w:r>
      <w:r w:rsidRPr="00B25979">
        <w:rPr>
          <w:szCs w:val="24"/>
          <w:lang w:val="en-US"/>
        </w:rPr>
        <w:t>Career Development for Exceptional Individuals 27(1):7-25.</w:t>
      </w:r>
    </w:p>
    <w:p w:rsidR="00862214" w:rsidRPr="00862214" w:rsidRDefault="00862214" w:rsidP="00922682">
      <w:pPr>
        <w:pStyle w:val="Kirjallisuusluettelo"/>
        <w:spacing w:line="276" w:lineRule="auto"/>
        <w:jc w:val="both"/>
        <w:rPr>
          <w:rFonts w:cs="Times New Roman"/>
          <w:szCs w:val="24"/>
        </w:rPr>
      </w:pPr>
      <w:r w:rsidRPr="00862214">
        <w:rPr>
          <w:rStyle w:val="highlight"/>
          <w:rFonts w:cs="Times New Roman"/>
          <w:szCs w:val="24"/>
        </w:rPr>
        <w:t>Nevala</w:t>
      </w:r>
      <w:r w:rsidRPr="00862214">
        <w:rPr>
          <w:rFonts w:cs="Times New Roman"/>
          <w:szCs w:val="24"/>
        </w:rPr>
        <w:t>, Nina,</w:t>
      </w:r>
      <w:r w:rsidRPr="00862214">
        <w:rPr>
          <w:rFonts w:cs="Times New Roman"/>
          <w:szCs w:val="24"/>
        </w:rPr>
        <w:t xml:space="preserve"> Turunen, Jarmo, Tiainen</w:t>
      </w:r>
      <w:r w:rsidRPr="00862214">
        <w:rPr>
          <w:rFonts w:cs="Times New Roman"/>
          <w:szCs w:val="24"/>
        </w:rPr>
        <w:t xml:space="preserve">, Raija and Mattila-Wiro, Päivi (2015) Osatyökykyiset työssä toimintamallin (OSKU) toteutuminen ja hyödyt erilaisissa toimintaympäristöissä. </w:t>
      </w:r>
      <w:r w:rsidRPr="00862214">
        <w:rPr>
          <w:rFonts w:cs="Times New Roman"/>
          <w:szCs w:val="24"/>
          <w:lang w:val="en-US"/>
        </w:rPr>
        <w:t xml:space="preserve">[Persons with partial work ability at work. A study of the feasibility and benefits of the Osku-concept in different contexts]. </w:t>
      </w:r>
      <w:r w:rsidRPr="00862214">
        <w:rPr>
          <w:rFonts w:cs="Times New Roman"/>
          <w:szCs w:val="24"/>
        </w:rPr>
        <w:t>Sosiaali-</w:t>
      </w:r>
      <w:r w:rsidRPr="00862214">
        <w:rPr>
          <w:rFonts w:cs="Times New Roman"/>
          <w:szCs w:val="24"/>
        </w:rPr>
        <w:t xml:space="preserve"> </w:t>
      </w:r>
      <w:r w:rsidRPr="00862214">
        <w:rPr>
          <w:rFonts w:cs="Times New Roman"/>
          <w:szCs w:val="24"/>
        </w:rPr>
        <w:t>ja terveysministeriön julkaisuja ja mietintöjä 48. The Ministry of Health and Social Affairs. Helsinki.</w:t>
      </w:r>
    </w:p>
    <w:p w:rsidR="00922682" w:rsidRPr="00B25979" w:rsidRDefault="00922682" w:rsidP="00922682">
      <w:pPr>
        <w:pStyle w:val="Kirjallisuusluettelo"/>
        <w:spacing w:line="276" w:lineRule="auto"/>
        <w:jc w:val="both"/>
        <w:rPr>
          <w:rFonts w:cs="Times New Roman"/>
          <w:szCs w:val="24"/>
          <w:lang w:val="en-US"/>
        </w:rPr>
      </w:pPr>
      <w:r w:rsidRPr="00E768AD">
        <w:rPr>
          <w:rFonts w:cs="Times New Roman"/>
          <w:szCs w:val="24"/>
        </w:rPr>
        <w:t xml:space="preserve">Nevala, Nina, Pehkonen, Irmeli, Teittinen, Antti, Vesala T. Hannu, Pörtfors, Pia &amp; Anttila, Heidi (2018) Kuntoutuksen vaikuttavuus kehitysvammaisten toimintakykyyn ja työllistymiseen sekä sitä estävät ja edistävät tekijät. Järjestelmällinen kirjallisuuskatsaus. Kelan </w:t>
      </w:r>
      <w:r w:rsidRPr="00E768AD">
        <w:rPr>
          <w:rFonts w:cs="Times New Roman"/>
          <w:szCs w:val="24"/>
        </w:rPr>
        <w:lastRenderedPageBreak/>
        <w:t>työpapereita 133/2018. Helsinki: Kela. &lt;https://helda.helsinki.fi/bitstream/handle/10138/230842/Tyopapereita133.pdf?sequence=1&amp;isAllowed=y&gt; (25.9.2018)</w:t>
      </w:r>
    </w:p>
    <w:p w:rsidR="004215DD" w:rsidRPr="004215DD" w:rsidRDefault="004215DD" w:rsidP="00922682">
      <w:pPr>
        <w:pStyle w:val="Kirjallisuusluettelo"/>
        <w:spacing w:line="276" w:lineRule="auto"/>
        <w:jc w:val="both"/>
        <w:rPr>
          <w:rFonts w:cs="Times New Roman"/>
          <w:szCs w:val="24"/>
          <w:lang w:val="en-US"/>
        </w:rPr>
      </w:pPr>
      <w:r w:rsidRPr="004215DD">
        <w:rPr>
          <w:rFonts w:cs="Times New Roman"/>
          <w:szCs w:val="24"/>
        </w:rPr>
        <w:t>Niemi, Anna-</w:t>
      </w:r>
      <w:r w:rsidRPr="004215DD">
        <w:rPr>
          <w:rFonts w:cs="Times New Roman"/>
          <w:szCs w:val="24"/>
        </w:rPr>
        <w:t>M</w:t>
      </w:r>
      <w:r w:rsidRPr="004215DD">
        <w:rPr>
          <w:rFonts w:cs="Times New Roman"/>
          <w:szCs w:val="24"/>
        </w:rPr>
        <w:t>aija</w:t>
      </w:r>
      <w:r w:rsidRPr="004215DD">
        <w:rPr>
          <w:rFonts w:cs="Times New Roman"/>
          <w:szCs w:val="24"/>
        </w:rPr>
        <w:t xml:space="preserve"> (2015). Erityisiä koulutuspolkuja?: Tutkimus erityisopetuksen käytännöistä peruskoulun jälkeen. </w:t>
      </w:r>
      <w:r w:rsidRPr="004215DD">
        <w:rPr>
          <w:rFonts w:cs="Times New Roman"/>
          <w:szCs w:val="24"/>
          <w:lang w:val="en-US"/>
        </w:rPr>
        <w:t>[Special educational paths? A study on the practices of special needs education after basic education] Doctoral thesis, University of Helsinki.</w:t>
      </w:r>
    </w:p>
    <w:p w:rsidR="00922682" w:rsidRPr="00E768AD" w:rsidRDefault="00922682" w:rsidP="00922682">
      <w:pPr>
        <w:pStyle w:val="Kirjallisuusluettelo"/>
        <w:spacing w:line="276" w:lineRule="auto"/>
        <w:jc w:val="both"/>
        <w:rPr>
          <w:rFonts w:cs="Times New Roman"/>
          <w:szCs w:val="24"/>
        </w:rPr>
      </w:pPr>
      <w:r w:rsidRPr="00E768AD">
        <w:rPr>
          <w:rFonts w:cs="Times New Roman"/>
          <w:szCs w:val="24"/>
        </w:rPr>
        <w:t>Niemi, Anna-Maija &amp; Jahnukainen , Markku (2018) Tuen tarve, työelämäpainotteisuus ja itsenäisyyden vaatimus ammatillisen koulutuksen kontekstissa. Ammattikasvatuksen aikakauskirja 20(1), 9–25.</w:t>
      </w:r>
    </w:p>
    <w:p w:rsidR="00922682" w:rsidRDefault="00922682" w:rsidP="00922682">
      <w:pPr>
        <w:pStyle w:val="Kirjallisuusluettelo"/>
        <w:spacing w:line="276" w:lineRule="auto"/>
        <w:jc w:val="both"/>
        <w:rPr>
          <w:rFonts w:cs="Times New Roman"/>
          <w:szCs w:val="24"/>
        </w:rPr>
      </w:pPr>
      <w:r w:rsidRPr="00C34424">
        <w:rPr>
          <w:rFonts w:cs="Times New Roman"/>
          <w:szCs w:val="24"/>
          <w:lang w:val="en-US"/>
        </w:rPr>
        <w:t xml:space="preserve">Niemi, Anna-Maija &amp; Kurki, Tuuli (2014) Getting on the right track? </w:t>
      </w:r>
      <w:r w:rsidRPr="00E768AD">
        <w:rPr>
          <w:rFonts w:cs="Times New Roman"/>
          <w:szCs w:val="24"/>
          <w:lang w:val="en-US"/>
        </w:rPr>
        <w:t xml:space="preserve">Educational choice-making of students with special needs in pre-vocational education and training. </w:t>
      </w:r>
      <w:r w:rsidRPr="00E768AD">
        <w:rPr>
          <w:rFonts w:cs="Times New Roman"/>
          <w:szCs w:val="24"/>
        </w:rPr>
        <w:t>Disability &amp; Society 29(10), 1631–1644.</w:t>
      </w:r>
    </w:p>
    <w:p w:rsidR="00B25979" w:rsidRPr="00B25979" w:rsidRDefault="00B25979" w:rsidP="00922682">
      <w:pPr>
        <w:pStyle w:val="Kirjallisuusluettelo"/>
        <w:spacing w:line="276" w:lineRule="auto"/>
        <w:jc w:val="both"/>
        <w:rPr>
          <w:rFonts w:cs="Times New Roman"/>
          <w:szCs w:val="24"/>
        </w:rPr>
      </w:pPr>
      <w:r w:rsidRPr="00B25979">
        <w:rPr>
          <w:szCs w:val="24"/>
        </w:rPr>
        <w:t>Oivo, Tuija &amp; Kerätär, Raija (2018) Osatyöky-kyisten reitit työllisyyteen – etuudet, palvelut, tukitoimet. Selvityshenkilöiden raportti. Sosiaali- ja terveysministeriön raportteja ja muistioita 43/2018. Helsinki: Sosiaali- ja terveysministeriö.</w:t>
      </w:r>
    </w:p>
    <w:p w:rsidR="00B25979" w:rsidRPr="00E768AD" w:rsidRDefault="00B25979" w:rsidP="00922682">
      <w:pPr>
        <w:pStyle w:val="Kirjallisuusluettelo"/>
        <w:spacing w:line="276" w:lineRule="auto"/>
        <w:jc w:val="both"/>
        <w:rPr>
          <w:rFonts w:cs="Times New Roman"/>
          <w:szCs w:val="24"/>
        </w:rPr>
      </w:pPr>
      <w:r w:rsidRPr="00E768AD">
        <w:rPr>
          <w:rFonts w:cs="Times New Roman"/>
          <w:szCs w:val="24"/>
        </w:rPr>
        <w:t>Opetushallinnon tilastopalvelu Vipunen</w:t>
      </w:r>
      <w:r>
        <w:rPr>
          <w:rFonts w:cs="Times New Roman"/>
          <w:szCs w:val="24"/>
        </w:rPr>
        <w:t>. &lt;</w:t>
      </w:r>
      <w:r w:rsidRPr="00B25979">
        <w:rPr>
          <w:rFonts w:cs="Times New Roman"/>
          <w:szCs w:val="24"/>
        </w:rPr>
        <w:t>https://vipunen.fi/fi-fi</w:t>
      </w:r>
      <w:r>
        <w:rPr>
          <w:rFonts w:cs="Times New Roman"/>
          <w:szCs w:val="24"/>
        </w:rPr>
        <w:t>&gt; (13.11.2019)</w:t>
      </w:r>
    </w:p>
    <w:p w:rsidR="007F2EFD" w:rsidRPr="00E768AD" w:rsidRDefault="007F2EFD" w:rsidP="00E768AD">
      <w:pPr>
        <w:pStyle w:val="Kirjallisuusluettelo"/>
        <w:spacing w:line="276" w:lineRule="auto"/>
        <w:jc w:val="both"/>
        <w:rPr>
          <w:rFonts w:cs="Times New Roman"/>
          <w:szCs w:val="24"/>
        </w:rPr>
      </w:pPr>
      <w:r w:rsidRPr="00E768AD">
        <w:rPr>
          <w:rFonts w:cs="Times New Roman"/>
          <w:szCs w:val="24"/>
        </w:rPr>
        <w:t>OPH 2015a. Ammatilliseen koulutukseen</w:t>
      </w:r>
      <w:r w:rsidR="0094763C" w:rsidRPr="00E768AD">
        <w:rPr>
          <w:rFonts w:cs="Times New Roman"/>
          <w:szCs w:val="24"/>
        </w:rPr>
        <w:t xml:space="preserve"> valmentava koulutus, tutkinnon muodostuminen ja perusteet. Helsinki: Opetushallitus. &lt;https://www.oph.fi/saadokset_ja_ohjeet/opetussuunnitelmien_ja_tutkintojen_perusteet/valmentavat_koulutus</w:t>
      </w:r>
      <w:r w:rsidR="00AC2457" w:rsidRPr="00E768AD">
        <w:rPr>
          <w:rFonts w:cs="Times New Roman"/>
          <w:szCs w:val="24"/>
        </w:rPr>
        <w:t>&gt; (10.10.2018</w:t>
      </w:r>
      <w:r w:rsidR="0094763C" w:rsidRPr="00E768AD">
        <w:rPr>
          <w:rFonts w:cs="Times New Roman"/>
          <w:szCs w:val="24"/>
        </w:rPr>
        <w:t>)</w:t>
      </w:r>
    </w:p>
    <w:p w:rsidR="0094763C" w:rsidRPr="00E768AD" w:rsidRDefault="0094763C" w:rsidP="00E768AD">
      <w:pPr>
        <w:pStyle w:val="Kirjallisuusluettelo"/>
        <w:spacing w:line="276" w:lineRule="auto"/>
        <w:jc w:val="both"/>
        <w:rPr>
          <w:rFonts w:cs="Times New Roman"/>
          <w:szCs w:val="24"/>
        </w:rPr>
      </w:pPr>
      <w:r w:rsidRPr="00E768AD">
        <w:rPr>
          <w:rFonts w:cs="Times New Roman"/>
          <w:szCs w:val="24"/>
        </w:rPr>
        <w:t>OPH 2015b. Työhön ja itsenäiseen elämään valmentava koulutus, tutkinnon muodostuminen ja perusteet. Helsinki: Opetushallitus. &lt;https://www.oph.fi/saadokset_ja_ohjeet/opetussuunnitelmien_ja_tutkintojen_perusteet/valmentavat_koulutus</w:t>
      </w:r>
      <w:r w:rsidR="00AC2457" w:rsidRPr="00E768AD">
        <w:rPr>
          <w:rFonts w:cs="Times New Roman"/>
          <w:szCs w:val="24"/>
        </w:rPr>
        <w:t>&gt; (10.10.2018</w:t>
      </w:r>
      <w:r w:rsidRPr="00E768AD">
        <w:rPr>
          <w:rFonts w:cs="Times New Roman"/>
          <w:szCs w:val="24"/>
        </w:rPr>
        <w:t>)</w:t>
      </w:r>
    </w:p>
    <w:p w:rsidR="009B67FD" w:rsidRPr="00E768AD" w:rsidRDefault="009B67FD" w:rsidP="00E768AD">
      <w:pPr>
        <w:pStyle w:val="Kirjallisuusluettelo"/>
        <w:spacing w:line="276" w:lineRule="auto"/>
        <w:jc w:val="both"/>
        <w:rPr>
          <w:rFonts w:cs="Times New Roman"/>
          <w:szCs w:val="24"/>
        </w:rPr>
      </w:pPr>
      <w:r w:rsidRPr="00E768AD">
        <w:rPr>
          <w:rFonts w:cs="Times New Roman"/>
          <w:szCs w:val="24"/>
        </w:rPr>
        <w:t xml:space="preserve">OKM (2016) Selvitys vaikeimmin vammaisten erityisopetuksen tarpeesta ja saatavuudesta ammatillisessa peruskoulutuksessa. Owalgroup. Helsinki: Opetus- ja kulttuuriministeriö. </w:t>
      </w:r>
      <w:r w:rsidR="006F0B80" w:rsidRPr="00E768AD">
        <w:rPr>
          <w:rFonts w:cs="Times New Roman"/>
          <w:szCs w:val="24"/>
        </w:rPr>
        <w:t>&lt;https://minedu.fi/documents/1410845/4252749/Selvitys+vaikeimmin+vammaisten+erityisopetuksen+tarpeesta+ja+saatavuudesta+ammatillisessa+peruskoulutuksessa.pdf/83271fa5-d96b-4f22-b7bd-f6c2c54b7b89/Selvitys+vaikeimmin+vammaisten+erityisopetuksen+tarpeesta+ja+saatavuudesta+ammatillisessa+peruskoulutuksessa.pdf.pdf&gt;</w:t>
      </w:r>
      <w:r w:rsidR="00650926" w:rsidRPr="00E768AD">
        <w:rPr>
          <w:rFonts w:cs="Times New Roman"/>
          <w:szCs w:val="24"/>
        </w:rPr>
        <w:t xml:space="preserve">  (10.10.2018)</w:t>
      </w:r>
    </w:p>
    <w:p w:rsidR="001A2B1E" w:rsidRPr="00E768AD" w:rsidRDefault="001A2B1E" w:rsidP="00E768AD">
      <w:pPr>
        <w:pStyle w:val="Kirjallisuusluettelo"/>
        <w:spacing w:line="276" w:lineRule="auto"/>
        <w:jc w:val="both"/>
        <w:rPr>
          <w:rFonts w:cs="Times New Roman"/>
          <w:szCs w:val="24"/>
        </w:rPr>
      </w:pPr>
      <w:r w:rsidRPr="00E768AD">
        <w:rPr>
          <w:rFonts w:cs="Times New Roman"/>
          <w:szCs w:val="24"/>
        </w:rPr>
        <w:t>Salonsaari, Maria-Elisa &amp; Aunola, Ulla (2017) Valmasta vauhtia. Tilannekatsaus ammatilliseen peruskoulutukseen valmentavan koulutuksen (Valma) toimeenpanosta ja vaikuttavuudesta syksyllä 2016. Raportit ja selvitykset 8/</w:t>
      </w:r>
      <w:r w:rsidR="009B67FD" w:rsidRPr="00E768AD">
        <w:rPr>
          <w:rFonts w:cs="Times New Roman"/>
          <w:szCs w:val="24"/>
        </w:rPr>
        <w:t>2017</w:t>
      </w:r>
      <w:r w:rsidR="009C0B41" w:rsidRPr="00E768AD">
        <w:rPr>
          <w:rFonts w:cs="Times New Roman"/>
          <w:szCs w:val="24"/>
        </w:rPr>
        <w:t>. Helsinki: Opetushallitus.</w:t>
      </w:r>
    </w:p>
    <w:p w:rsidR="00291A4C" w:rsidRPr="00E768AD" w:rsidRDefault="00291A4C" w:rsidP="00E768AD">
      <w:pPr>
        <w:pStyle w:val="Kirjallisuusluettelo"/>
        <w:spacing w:line="276" w:lineRule="auto"/>
        <w:jc w:val="both"/>
        <w:rPr>
          <w:rFonts w:cs="Times New Roman"/>
          <w:szCs w:val="24"/>
          <w:lang w:val="en-US"/>
        </w:rPr>
      </w:pPr>
      <w:r w:rsidRPr="00E768AD">
        <w:rPr>
          <w:rFonts w:cs="Times New Roman"/>
          <w:szCs w:val="24"/>
        </w:rPr>
        <w:lastRenderedPageBreak/>
        <w:t>Sipilä, Noora, Kestilä, Laura &amp; Martikainen, Pekka (2011) Koulutuksen yhteys nuorten työttömyyteen</w:t>
      </w:r>
      <w:r w:rsidR="00E80A81" w:rsidRPr="00E768AD">
        <w:rPr>
          <w:rFonts w:cs="Times New Roman"/>
          <w:szCs w:val="24"/>
        </w:rPr>
        <w:t>: m</w:t>
      </w:r>
      <w:r w:rsidRPr="00E768AD">
        <w:rPr>
          <w:rFonts w:cs="Times New Roman"/>
          <w:szCs w:val="24"/>
        </w:rPr>
        <w:t xml:space="preserve">ihin peruskoulututkinto riittää 2000-luvun alussa? </w:t>
      </w:r>
      <w:r w:rsidRPr="00E768AD">
        <w:rPr>
          <w:rFonts w:cs="Times New Roman"/>
          <w:szCs w:val="24"/>
          <w:lang w:val="en-US"/>
        </w:rPr>
        <w:t>Yhteiskuntapolitiikka, 76(2), 121–134.</w:t>
      </w:r>
    </w:p>
    <w:p w:rsidR="00B20F96" w:rsidRPr="00E768AD" w:rsidRDefault="00B5720C" w:rsidP="00E768AD">
      <w:pPr>
        <w:pStyle w:val="Kirjallisuusluettelo"/>
        <w:spacing w:line="276" w:lineRule="auto"/>
        <w:jc w:val="both"/>
        <w:rPr>
          <w:rFonts w:cs="Times New Roman"/>
          <w:szCs w:val="24"/>
          <w:lang w:val="en-US"/>
        </w:rPr>
      </w:pPr>
      <w:r w:rsidRPr="00E768AD">
        <w:rPr>
          <w:rFonts w:cs="Times New Roman"/>
          <w:szCs w:val="24"/>
          <w:lang w:val="en-US"/>
        </w:rPr>
        <w:t>Spjelkavik, Øystein (2012) Supported employment in Norway and in the other Nordic countries. Journal of Vocational Rehabilitation 37(3), 163–172.</w:t>
      </w:r>
    </w:p>
    <w:p w:rsidR="00B20F96" w:rsidRPr="00E768AD" w:rsidRDefault="00B20F96" w:rsidP="00E768AD">
      <w:pPr>
        <w:pStyle w:val="Kirjallisuusluettelo"/>
        <w:spacing w:line="276" w:lineRule="auto"/>
        <w:jc w:val="both"/>
        <w:rPr>
          <w:rFonts w:cs="Times New Roman"/>
          <w:szCs w:val="24"/>
        </w:rPr>
      </w:pPr>
      <w:r w:rsidRPr="00E768AD">
        <w:rPr>
          <w:rFonts w:cs="Times New Roman"/>
          <w:szCs w:val="24"/>
          <w:lang w:val="en-US"/>
        </w:rPr>
        <w:t xml:space="preserve">Test, W. David, Mazzotti, L. Valerie, Mustian, L. April, Fowler, H. Catherine, Kortering, Larry &amp; Kohler, Paula (2009) Evidence-based secondary transition predictors for improving postschool outcomes for students with disabilities. </w:t>
      </w:r>
      <w:r w:rsidRPr="00E768AD">
        <w:rPr>
          <w:rFonts w:cs="Times New Roman"/>
          <w:szCs w:val="24"/>
        </w:rPr>
        <w:t>Career Development for Exceptional Individuals, 32(3)</w:t>
      </w:r>
      <w:r w:rsidR="003A1F2D" w:rsidRPr="00E768AD">
        <w:rPr>
          <w:rFonts w:cs="Times New Roman"/>
          <w:szCs w:val="24"/>
        </w:rPr>
        <w:t>, 160–181.</w:t>
      </w:r>
    </w:p>
    <w:p w:rsidR="00DF528C" w:rsidRDefault="00DF528C" w:rsidP="00E768AD">
      <w:pPr>
        <w:pStyle w:val="Kirjallisuusluettelo"/>
        <w:spacing w:line="276" w:lineRule="auto"/>
        <w:jc w:val="both"/>
        <w:rPr>
          <w:rFonts w:cs="Times New Roman"/>
          <w:szCs w:val="24"/>
          <w:lang w:val="en-US"/>
        </w:rPr>
      </w:pPr>
      <w:r w:rsidRPr="00E768AD">
        <w:rPr>
          <w:rFonts w:cs="Times New Roman"/>
          <w:szCs w:val="24"/>
        </w:rPr>
        <w:t xml:space="preserve">Tilastokeskus (2017) Erityisopetuksen tilastot. Ammatillisen koulutuksen erityisopiskelijat erityisopetuksen toteutuspaikan mukaan 2004–2016. </w:t>
      </w:r>
      <w:r w:rsidR="00650926" w:rsidRPr="00E768AD">
        <w:rPr>
          <w:rFonts w:cs="Times New Roman"/>
          <w:szCs w:val="24"/>
          <w:lang w:val="en-US"/>
        </w:rPr>
        <w:t>&lt;https://www.stat.fi/til/erop/tau.html&gt;</w:t>
      </w:r>
      <w:r w:rsidR="00704C90" w:rsidRPr="00E768AD">
        <w:rPr>
          <w:rFonts w:cs="Times New Roman"/>
          <w:szCs w:val="24"/>
          <w:lang w:val="en-US"/>
        </w:rPr>
        <w:t xml:space="preserve"> (10.10.2018)</w:t>
      </w:r>
    </w:p>
    <w:p w:rsidR="00BC2EA1" w:rsidRDefault="00BC2EA1" w:rsidP="00E768AD">
      <w:pPr>
        <w:pStyle w:val="Kirjallisuusluettelo"/>
        <w:spacing w:line="276" w:lineRule="auto"/>
        <w:jc w:val="both"/>
        <w:rPr>
          <w:lang w:val="en-US"/>
        </w:rPr>
      </w:pPr>
      <w:r w:rsidRPr="00BC2EA1">
        <w:rPr>
          <w:lang w:val="en-US"/>
        </w:rPr>
        <w:t>Virtanen, H</w:t>
      </w:r>
      <w:r>
        <w:rPr>
          <w:lang w:val="en-US"/>
        </w:rPr>
        <w:t>anna</w:t>
      </w:r>
      <w:r w:rsidRPr="00BC2EA1">
        <w:rPr>
          <w:lang w:val="en-US"/>
        </w:rPr>
        <w:t xml:space="preserve"> (2016), “Essays on post-compulsory education attainment in Finland”, Aalto University publication series, Doctor</w:t>
      </w:r>
      <w:r>
        <w:rPr>
          <w:lang w:val="en-US"/>
        </w:rPr>
        <w:t>al dissertations 87, ETLA A 49.</w:t>
      </w:r>
    </w:p>
    <w:p w:rsidR="00C0255D" w:rsidRPr="00C0255D" w:rsidRDefault="00C0255D" w:rsidP="00E768AD">
      <w:pPr>
        <w:pStyle w:val="Kirjallisuusluettelo"/>
        <w:spacing w:line="276" w:lineRule="auto"/>
        <w:jc w:val="both"/>
        <w:rPr>
          <w:rFonts w:cs="Times New Roman"/>
          <w:szCs w:val="24"/>
          <w:lang w:val="en-US"/>
        </w:rPr>
      </w:pPr>
      <w:r w:rsidRPr="00C0255D">
        <w:rPr>
          <w:szCs w:val="24"/>
        </w:rPr>
        <w:t xml:space="preserve">Vuorento, Mirkka &amp; Terävä, Kimmo (2015) Osatyökykyisen työssä jatkamisen ja työllistymisen tu-keminen. </w:t>
      </w:r>
      <w:r w:rsidRPr="00C0255D">
        <w:rPr>
          <w:szCs w:val="24"/>
          <w:lang w:val="en-US"/>
        </w:rPr>
        <w:t>Kirjallisuuskatsaus ja haastattelututkimus. Kuntoutussäätiön työselosteita 48. Helsinki: Kuntoutussäätiö.</w:t>
      </w:r>
    </w:p>
    <w:p w:rsidR="00D25528" w:rsidRPr="00E768AD" w:rsidRDefault="00D25528" w:rsidP="00E768AD">
      <w:pPr>
        <w:pStyle w:val="Kirjallisuusluettelo"/>
        <w:spacing w:line="276" w:lineRule="auto"/>
        <w:jc w:val="both"/>
        <w:rPr>
          <w:rFonts w:cs="Times New Roman"/>
          <w:szCs w:val="24"/>
          <w:lang w:val="en-US"/>
        </w:rPr>
      </w:pPr>
      <w:r w:rsidRPr="00E768AD">
        <w:rPr>
          <w:rFonts w:cs="Times New Roman"/>
          <w:szCs w:val="24"/>
          <w:lang w:val="en-US"/>
        </w:rPr>
        <w:t>Wehman, Paul, Chan, Fong, Ditchman, Nicole &amp; Kang, Hyun-Ju (2014) Effect of supported employment on vocational rehabilitation outcomes of transition-age youth with intellectual and developmental disabilities: A case control study. Intellectual and Developmental Disabilities 52(4), 296–310.</w:t>
      </w:r>
    </w:p>
    <w:p w:rsidR="001E6E7A" w:rsidRPr="00E768AD" w:rsidRDefault="001E6E7A" w:rsidP="00E768AD">
      <w:pPr>
        <w:pStyle w:val="Kirjallisuusluettelo"/>
        <w:spacing w:line="276" w:lineRule="auto"/>
        <w:jc w:val="both"/>
        <w:rPr>
          <w:rFonts w:cs="Times New Roman"/>
          <w:szCs w:val="24"/>
        </w:rPr>
      </w:pPr>
      <w:r w:rsidRPr="00E768AD">
        <w:rPr>
          <w:rFonts w:cs="Times New Roman"/>
          <w:szCs w:val="24"/>
          <w:lang w:val="en-US"/>
        </w:rPr>
        <w:t xml:space="preserve">Wehman, Paul, Lau, Stephanie, Molinelli, Alissa, Brooke, Valerie, Thompson, Katie, Moore, Chandler &amp; West, Michael (2012) Supported employment for young adults with autism spectrum disorder: Preliminary data. </w:t>
      </w:r>
      <w:r w:rsidRPr="00E768AD">
        <w:rPr>
          <w:rFonts w:cs="Times New Roman"/>
          <w:szCs w:val="24"/>
        </w:rPr>
        <w:t>Research &amp; Practice for Persons with Severe Disabilities 37(3), 160–169.</w:t>
      </w:r>
    </w:p>
    <w:p w:rsidR="00B5720C" w:rsidRPr="00E768AD" w:rsidRDefault="00B5720C" w:rsidP="00E768AD">
      <w:pPr>
        <w:spacing w:line="276" w:lineRule="auto"/>
        <w:jc w:val="both"/>
        <w:rPr>
          <w:rFonts w:cs="Times New Roman"/>
          <w:szCs w:val="24"/>
        </w:rPr>
      </w:pPr>
      <w:r w:rsidRPr="00E768AD">
        <w:rPr>
          <w:rFonts w:cs="Times New Roman"/>
          <w:szCs w:val="24"/>
        </w:rPr>
        <w:t xml:space="preserve"> </w:t>
      </w:r>
    </w:p>
    <w:sectPr w:rsidR="00B5720C" w:rsidRPr="00E768AD" w:rsidSect="00BB00F0">
      <w:footerReference w:type="default" r:id="rId11"/>
      <w:pgSz w:w="16838" w:h="11906" w:orient="landscape"/>
      <w:pgMar w:top="1134"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87C" w:rsidRDefault="00DA587C" w:rsidP="00E3571A">
      <w:pPr>
        <w:spacing w:after="0" w:line="240" w:lineRule="auto"/>
      </w:pPr>
      <w:r>
        <w:separator/>
      </w:r>
    </w:p>
  </w:endnote>
  <w:endnote w:type="continuationSeparator" w:id="0">
    <w:p w:rsidR="00DA587C" w:rsidRDefault="00DA587C" w:rsidP="00E35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576627"/>
      <w:docPartObj>
        <w:docPartGallery w:val="Page Numbers (Bottom of Page)"/>
        <w:docPartUnique/>
      </w:docPartObj>
    </w:sdtPr>
    <w:sdtEndPr/>
    <w:sdtContent>
      <w:p w:rsidR="009306D4" w:rsidRDefault="009306D4">
        <w:pPr>
          <w:pStyle w:val="Alatunniste"/>
          <w:jc w:val="center"/>
        </w:pPr>
        <w:r>
          <w:fldChar w:fldCharType="begin"/>
        </w:r>
        <w:r>
          <w:instrText>PAGE   \* MERGEFORMAT</w:instrText>
        </w:r>
        <w:r>
          <w:fldChar w:fldCharType="separate"/>
        </w:r>
        <w:r w:rsidR="00861DA1">
          <w:rPr>
            <w:noProof/>
          </w:rPr>
          <w:t>15</w:t>
        </w:r>
        <w:r>
          <w:fldChar w:fldCharType="end"/>
        </w:r>
      </w:p>
    </w:sdtContent>
  </w:sdt>
  <w:p w:rsidR="009306D4" w:rsidRDefault="009306D4">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87C" w:rsidRDefault="00DA587C" w:rsidP="00E3571A">
      <w:pPr>
        <w:spacing w:after="0" w:line="240" w:lineRule="auto"/>
      </w:pPr>
      <w:r>
        <w:separator/>
      </w:r>
    </w:p>
  </w:footnote>
  <w:footnote w:type="continuationSeparator" w:id="0">
    <w:p w:rsidR="00DA587C" w:rsidRDefault="00DA587C" w:rsidP="00E357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E2A"/>
    <w:multiLevelType w:val="multilevel"/>
    <w:tmpl w:val="D18211D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CCB71BC"/>
    <w:multiLevelType w:val="multilevel"/>
    <w:tmpl w:val="2B36073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67089A"/>
    <w:multiLevelType w:val="multilevel"/>
    <w:tmpl w:val="44528C0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F6A021B"/>
    <w:multiLevelType w:val="hybridMultilevel"/>
    <w:tmpl w:val="A9C46496"/>
    <w:lvl w:ilvl="0" w:tplc="9A6C95A0">
      <w:start w:val="1"/>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2BFD5722"/>
    <w:multiLevelType w:val="multilevel"/>
    <w:tmpl w:val="BF14E1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C451E35"/>
    <w:multiLevelType w:val="multilevel"/>
    <w:tmpl w:val="28C8D1A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8B35FEB"/>
    <w:multiLevelType w:val="hybridMultilevel"/>
    <w:tmpl w:val="5418A5A2"/>
    <w:lvl w:ilvl="0" w:tplc="C4D6CE48">
      <w:start w:val="1"/>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3ABE4B28"/>
    <w:multiLevelType w:val="hybridMultilevel"/>
    <w:tmpl w:val="036216B6"/>
    <w:lvl w:ilvl="0" w:tplc="75049E78">
      <w:numFmt w:val="bullet"/>
      <w:lvlText w:val="-"/>
      <w:lvlJc w:val="left"/>
      <w:pPr>
        <w:ind w:left="720" w:hanging="360"/>
      </w:pPr>
      <w:rPr>
        <w:rFonts w:ascii="Times New Roman" w:eastAsiaTheme="minorHAnsi"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44F0622D"/>
    <w:multiLevelType w:val="hybridMultilevel"/>
    <w:tmpl w:val="21589B44"/>
    <w:lvl w:ilvl="0" w:tplc="2FD42F8A">
      <w:start w:val="1"/>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539E0CA5"/>
    <w:multiLevelType w:val="multilevel"/>
    <w:tmpl w:val="7D5241CA"/>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4B86FB5"/>
    <w:multiLevelType w:val="multilevel"/>
    <w:tmpl w:val="A0CAE5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B07580F"/>
    <w:multiLevelType w:val="hybridMultilevel"/>
    <w:tmpl w:val="83C484EC"/>
    <w:lvl w:ilvl="0" w:tplc="D88ADB24">
      <w:start w:val="3"/>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7B2939BA"/>
    <w:multiLevelType w:val="hybridMultilevel"/>
    <w:tmpl w:val="A2DEBC80"/>
    <w:lvl w:ilvl="0" w:tplc="84762602">
      <w:start w:val="3"/>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1"/>
  </w:num>
  <w:num w:numId="4">
    <w:abstractNumId w:val="5"/>
  </w:num>
  <w:num w:numId="5">
    <w:abstractNumId w:val="2"/>
  </w:num>
  <w:num w:numId="6">
    <w:abstractNumId w:val="0"/>
  </w:num>
  <w:num w:numId="7">
    <w:abstractNumId w:val="9"/>
  </w:num>
  <w:num w:numId="8">
    <w:abstractNumId w:val="8"/>
  </w:num>
  <w:num w:numId="9">
    <w:abstractNumId w:val="6"/>
  </w:num>
  <w:num w:numId="10">
    <w:abstractNumId w:val="3"/>
  </w:num>
  <w:num w:numId="11">
    <w:abstractNumId w:val="1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93C"/>
    <w:rsid w:val="00000F77"/>
    <w:rsid w:val="00007E11"/>
    <w:rsid w:val="00021FBC"/>
    <w:rsid w:val="00030916"/>
    <w:rsid w:val="00031DA4"/>
    <w:rsid w:val="00033F7B"/>
    <w:rsid w:val="00035752"/>
    <w:rsid w:val="00061C6F"/>
    <w:rsid w:val="00063258"/>
    <w:rsid w:val="000632C2"/>
    <w:rsid w:val="00074DBC"/>
    <w:rsid w:val="0007517F"/>
    <w:rsid w:val="00084444"/>
    <w:rsid w:val="00091088"/>
    <w:rsid w:val="000A037F"/>
    <w:rsid w:val="000B306F"/>
    <w:rsid w:val="000C279E"/>
    <w:rsid w:val="000C3AC9"/>
    <w:rsid w:val="000D0FC5"/>
    <w:rsid w:val="000D23B3"/>
    <w:rsid w:val="000D78F8"/>
    <w:rsid w:val="000E2529"/>
    <w:rsid w:val="000E5FAA"/>
    <w:rsid w:val="000F23DD"/>
    <w:rsid w:val="000F2B5E"/>
    <w:rsid w:val="000F7271"/>
    <w:rsid w:val="001039C0"/>
    <w:rsid w:val="0011305F"/>
    <w:rsid w:val="001207FF"/>
    <w:rsid w:val="00122EA0"/>
    <w:rsid w:val="00126D13"/>
    <w:rsid w:val="001372F1"/>
    <w:rsid w:val="00140006"/>
    <w:rsid w:val="00144052"/>
    <w:rsid w:val="00144AAD"/>
    <w:rsid w:val="00154131"/>
    <w:rsid w:val="001723D3"/>
    <w:rsid w:val="001921F1"/>
    <w:rsid w:val="0019225C"/>
    <w:rsid w:val="00192CB4"/>
    <w:rsid w:val="001950D1"/>
    <w:rsid w:val="00196E17"/>
    <w:rsid w:val="001A2B1E"/>
    <w:rsid w:val="001C4C22"/>
    <w:rsid w:val="001D3901"/>
    <w:rsid w:val="001E24DE"/>
    <w:rsid w:val="001E6E7A"/>
    <w:rsid w:val="001F0395"/>
    <w:rsid w:val="00221F4C"/>
    <w:rsid w:val="002311FD"/>
    <w:rsid w:val="0024655E"/>
    <w:rsid w:val="002526EF"/>
    <w:rsid w:val="00254A28"/>
    <w:rsid w:val="002879A2"/>
    <w:rsid w:val="00291A4C"/>
    <w:rsid w:val="002920FC"/>
    <w:rsid w:val="00292600"/>
    <w:rsid w:val="002A5EA1"/>
    <w:rsid w:val="002C187B"/>
    <w:rsid w:val="002F5E7F"/>
    <w:rsid w:val="002F7617"/>
    <w:rsid w:val="00302F30"/>
    <w:rsid w:val="00305384"/>
    <w:rsid w:val="003152C1"/>
    <w:rsid w:val="0031638E"/>
    <w:rsid w:val="00317A0C"/>
    <w:rsid w:val="00321031"/>
    <w:rsid w:val="0032410B"/>
    <w:rsid w:val="00324A0C"/>
    <w:rsid w:val="00325704"/>
    <w:rsid w:val="00325FB8"/>
    <w:rsid w:val="00326459"/>
    <w:rsid w:val="00342587"/>
    <w:rsid w:val="00342D81"/>
    <w:rsid w:val="0034388D"/>
    <w:rsid w:val="00351A98"/>
    <w:rsid w:val="003552E1"/>
    <w:rsid w:val="003639AF"/>
    <w:rsid w:val="0036708B"/>
    <w:rsid w:val="00373605"/>
    <w:rsid w:val="003823F1"/>
    <w:rsid w:val="003853D1"/>
    <w:rsid w:val="00387FC1"/>
    <w:rsid w:val="0039175D"/>
    <w:rsid w:val="003A1F2D"/>
    <w:rsid w:val="003A2725"/>
    <w:rsid w:val="003A4ACA"/>
    <w:rsid w:val="003A510A"/>
    <w:rsid w:val="003C276C"/>
    <w:rsid w:val="003C5836"/>
    <w:rsid w:val="003D2CC8"/>
    <w:rsid w:val="003D38D6"/>
    <w:rsid w:val="003E0FDC"/>
    <w:rsid w:val="003F4579"/>
    <w:rsid w:val="00411130"/>
    <w:rsid w:val="00416CB8"/>
    <w:rsid w:val="004215DD"/>
    <w:rsid w:val="004264F2"/>
    <w:rsid w:val="004315BE"/>
    <w:rsid w:val="00436F8D"/>
    <w:rsid w:val="004759B2"/>
    <w:rsid w:val="004770E1"/>
    <w:rsid w:val="0048205D"/>
    <w:rsid w:val="004869B8"/>
    <w:rsid w:val="00495332"/>
    <w:rsid w:val="0049787A"/>
    <w:rsid w:val="004A7B70"/>
    <w:rsid w:val="004B4091"/>
    <w:rsid w:val="004C2427"/>
    <w:rsid w:val="004E3238"/>
    <w:rsid w:val="004E725D"/>
    <w:rsid w:val="004F3D97"/>
    <w:rsid w:val="00502775"/>
    <w:rsid w:val="005075EB"/>
    <w:rsid w:val="0052764B"/>
    <w:rsid w:val="00541CE2"/>
    <w:rsid w:val="00556F05"/>
    <w:rsid w:val="0055756B"/>
    <w:rsid w:val="00563CB1"/>
    <w:rsid w:val="00564187"/>
    <w:rsid w:val="00566796"/>
    <w:rsid w:val="00574034"/>
    <w:rsid w:val="0057575A"/>
    <w:rsid w:val="00576160"/>
    <w:rsid w:val="00586558"/>
    <w:rsid w:val="005870A4"/>
    <w:rsid w:val="00597A72"/>
    <w:rsid w:val="005B088D"/>
    <w:rsid w:val="005B27C4"/>
    <w:rsid w:val="005B339C"/>
    <w:rsid w:val="005B3B56"/>
    <w:rsid w:val="005B7394"/>
    <w:rsid w:val="005B7FFE"/>
    <w:rsid w:val="005C0FCE"/>
    <w:rsid w:val="005C4846"/>
    <w:rsid w:val="005D407A"/>
    <w:rsid w:val="005E42A2"/>
    <w:rsid w:val="005E4FB1"/>
    <w:rsid w:val="005F51C1"/>
    <w:rsid w:val="006044E5"/>
    <w:rsid w:val="00611F70"/>
    <w:rsid w:val="00621FD1"/>
    <w:rsid w:val="00627DE7"/>
    <w:rsid w:val="00630BD3"/>
    <w:rsid w:val="00636A81"/>
    <w:rsid w:val="006433A6"/>
    <w:rsid w:val="00650926"/>
    <w:rsid w:val="00655B7F"/>
    <w:rsid w:val="00662EFA"/>
    <w:rsid w:val="00663E52"/>
    <w:rsid w:val="00664B40"/>
    <w:rsid w:val="00666E8B"/>
    <w:rsid w:val="006741E7"/>
    <w:rsid w:val="00682F71"/>
    <w:rsid w:val="00683805"/>
    <w:rsid w:val="0069245E"/>
    <w:rsid w:val="00693B55"/>
    <w:rsid w:val="006949E1"/>
    <w:rsid w:val="00694CEC"/>
    <w:rsid w:val="006B0826"/>
    <w:rsid w:val="006B64AA"/>
    <w:rsid w:val="006C4D7E"/>
    <w:rsid w:val="006D122C"/>
    <w:rsid w:val="006D197A"/>
    <w:rsid w:val="006D206D"/>
    <w:rsid w:val="006D585A"/>
    <w:rsid w:val="006E063A"/>
    <w:rsid w:val="006E08A6"/>
    <w:rsid w:val="006E53DB"/>
    <w:rsid w:val="006E58BA"/>
    <w:rsid w:val="006F0B80"/>
    <w:rsid w:val="006F0F32"/>
    <w:rsid w:val="006F54AC"/>
    <w:rsid w:val="00704C90"/>
    <w:rsid w:val="00706654"/>
    <w:rsid w:val="00711475"/>
    <w:rsid w:val="00711B27"/>
    <w:rsid w:val="00716ECC"/>
    <w:rsid w:val="007174B8"/>
    <w:rsid w:val="00724E5B"/>
    <w:rsid w:val="00726F70"/>
    <w:rsid w:val="0074077B"/>
    <w:rsid w:val="0076203C"/>
    <w:rsid w:val="00764E98"/>
    <w:rsid w:val="00767D87"/>
    <w:rsid w:val="00782838"/>
    <w:rsid w:val="00790D86"/>
    <w:rsid w:val="007A1396"/>
    <w:rsid w:val="007A1E7C"/>
    <w:rsid w:val="007A4980"/>
    <w:rsid w:val="007B0D45"/>
    <w:rsid w:val="007B2097"/>
    <w:rsid w:val="007D3F01"/>
    <w:rsid w:val="007F0F42"/>
    <w:rsid w:val="007F1F25"/>
    <w:rsid w:val="007F2EFD"/>
    <w:rsid w:val="00800B10"/>
    <w:rsid w:val="008064EE"/>
    <w:rsid w:val="00830400"/>
    <w:rsid w:val="00832287"/>
    <w:rsid w:val="00833A1E"/>
    <w:rsid w:val="00837314"/>
    <w:rsid w:val="00837C9C"/>
    <w:rsid w:val="00845E83"/>
    <w:rsid w:val="00861DA1"/>
    <w:rsid w:val="00862214"/>
    <w:rsid w:val="00872A39"/>
    <w:rsid w:val="00876EB6"/>
    <w:rsid w:val="00881518"/>
    <w:rsid w:val="00886D64"/>
    <w:rsid w:val="008940D7"/>
    <w:rsid w:val="008A414A"/>
    <w:rsid w:val="008B33EF"/>
    <w:rsid w:val="008B72F0"/>
    <w:rsid w:val="008C24B7"/>
    <w:rsid w:val="008C434F"/>
    <w:rsid w:val="008D18C1"/>
    <w:rsid w:val="008D2868"/>
    <w:rsid w:val="008D6CBE"/>
    <w:rsid w:val="008E7D10"/>
    <w:rsid w:val="008F4640"/>
    <w:rsid w:val="009011C9"/>
    <w:rsid w:val="009026D8"/>
    <w:rsid w:val="009113B2"/>
    <w:rsid w:val="00913DA3"/>
    <w:rsid w:val="00922682"/>
    <w:rsid w:val="009238C4"/>
    <w:rsid w:val="00923C6A"/>
    <w:rsid w:val="009303C2"/>
    <w:rsid w:val="009306D4"/>
    <w:rsid w:val="00934770"/>
    <w:rsid w:val="00934E69"/>
    <w:rsid w:val="00936D3D"/>
    <w:rsid w:val="00944085"/>
    <w:rsid w:val="009444B3"/>
    <w:rsid w:val="00944862"/>
    <w:rsid w:val="0094763C"/>
    <w:rsid w:val="0095729A"/>
    <w:rsid w:val="00960FCC"/>
    <w:rsid w:val="00962224"/>
    <w:rsid w:val="00972380"/>
    <w:rsid w:val="009828CF"/>
    <w:rsid w:val="0098606D"/>
    <w:rsid w:val="00996C2B"/>
    <w:rsid w:val="009B67FD"/>
    <w:rsid w:val="009C08C7"/>
    <w:rsid w:val="009C0B41"/>
    <w:rsid w:val="009C286F"/>
    <w:rsid w:val="009D173F"/>
    <w:rsid w:val="009D28DD"/>
    <w:rsid w:val="009E0571"/>
    <w:rsid w:val="009E51CB"/>
    <w:rsid w:val="009F1466"/>
    <w:rsid w:val="009F544B"/>
    <w:rsid w:val="00A16566"/>
    <w:rsid w:val="00A23879"/>
    <w:rsid w:val="00A24B6C"/>
    <w:rsid w:val="00A30E7B"/>
    <w:rsid w:val="00A34196"/>
    <w:rsid w:val="00A450E1"/>
    <w:rsid w:val="00A47369"/>
    <w:rsid w:val="00A5123C"/>
    <w:rsid w:val="00A52311"/>
    <w:rsid w:val="00A5269F"/>
    <w:rsid w:val="00A53152"/>
    <w:rsid w:val="00A5335F"/>
    <w:rsid w:val="00A57E2B"/>
    <w:rsid w:val="00A645D5"/>
    <w:rsid w:val="00A8631A"/>
    <w:rsid w:val="00A95AE1"/>
    <w:rsid w:val="00A9689D"/>
    <w:rsid w:val="00AA049B"/>
    <w:rsid w:val="00AA27AE"/>
    <w:rsid w:val="00AB0C4F"/>
    <w:rsid w:val="00AB293C"/>
    <w:rsid w:val="00AB3622"/>
    <w:rsid w:val="00AC0766"/>
    <w:rsid w:val="00AC124E"/>
    <w:rsid w:val="00AC2457"/>
    <w:rsid w:val="00AC5768"/>
    <w:rsid w:val="00AD05B3"/>
    <w:rsid w:val="00AD481E"/>
    <w:rsid w:val="00AD5BE6"/>
    <w:rsid w:val="00AD5BEA"/>
    <w:rsid w:val="00AF5698"/>
    <w:rsid w:val="00AF638E"/>
    <w:rsid w:val="00AF6F2B"/>
    <w:rsid w:val="00B20CB6"/>
    <w:rsid w:val="00B20F96"/>
    <w:rsid w:val="00B22E8D"/>
    <w:rsid w:val="00B233A4"/>
    <w:rsid w:val="00B25979"/>
    <w:rsid w:val="00B3167A"/>
    <w:rsid w:val="00B502C1"/>
    <w:rsid w:val="00B50AE5"/>
    <w:rsid w:val="00B55B4E"/>
    <w:rsid w:val="00B5720C"/>
    <w:rsid w:val="00B61581"/>
    <w:rsid w:val="00B62C74"/>
    <w:rsid w:val="00B831F3"/>
    <w:rsid w:val="00B853AD"/>
    <w:rsid w:val="00B94F2C"/>
    <w:rsid w:val="00B9617D"/>
    <w:rsid w:val="00B97A24"/>
    <w:rsid w:val="00BB00F0"/>
    <w:rsid w:val="00BB791D"/>
    <w:rsid w:val="00BC2EA1"/>
    <w:rsid w:val="00BE1F6E"/>
    <w:rsid w:val="00BE5670"/>
    <w:rsid w:val="00BF3DEA"/>
    <w:rsid w:val="00BF4E83"/>
    <w:rsid w:val="00C0255D"/>
    <w:rsid w:val="00C03791"/>
    <w:rsid w:val="00C04FF9"/>
    <w:rsid w:val="00C07F44"/>
    <w:rsid w:val="00C22A23"/>
    <w:rsid w:val="00C22D51"/>
    <w:rsid w:val="00C25F10"/>
    <w:rsid w:val="00C30493"/>
    <w:rsid w:val="00C32519"/>
    <w:rsid w:val="00C341A7"/>
    <w:rsid w:val="00C34424"/>
    <w:rsid w:val="00C44B71"/>
    <w:rsid w:val="00C55965"/>
    <w:rsid w:val="00C57A46"/>
    <w:rsid w:val="00C746AC"/>
    <w:rsid w:val="00C9091F"/>
    <w:rsid w:val="00C90FA2"/>
    <w:rsid w:val="00C95323"/>
    <w:rsid w:val="00C9547C"/>
    <w:rsid w:val="00C95E39"/>
    <w:rsid w:val="00CA0754"/>
    <w:rsid w:val="00CA0C06"/>
    <w:rsid w:val="00CB2C49"/>
    <w:rsid w:val="00CB6B7F"/>
    <w:rsid w:val="00CB771F"/>
    <w:rsid w:val="00CB78EE"/>
    <w:rsid w:val="00CC5833"/>
    <w:rsid w:val="00CE20F9"/>
    <w:rsid w:val="00CF0980"/>
    <w:rsid w:val="00CF7F45"/>
    <w:rsid w:val="00D06F7C"/>
    <w:rsid w:val="00D1217E"/>
    <w:rsid w:val="00D135EC"/>
    <w:rsid w:val="00D25528"/>
    <w:rsid w:val="00D25F1D"/>
    <w:rsid w:val="00D2675A"/>
    <w:rsid w:val="00D43447"/>
    <w:rsid w:val="00D53599"/>
    <w:rsid w:val="00D56F8B"/>
    <w:rsid w:val="00D709B8"/>
    <w:rsid w:val="00D73219"/>
    <w:rsid w:val="00D74EC6"/>
    <w:rsid w:val="00D7640A"/>
    <w:rsid w:val="00D845C7"/>
    <w:rsid w:val="00D92815"/>
    <w:rsid w:val="00DA082E"/>
    <w:rsid w:val="00DA587C"/>
    <w:rsid w:val="00DA6DCC"/>
    <w:rsid w:val="00DA7055"/>
    <w:rsid w:val="00DD0BD5"/>
    <w:rsid w:val="00DE16F5"/>
    <w:rsid w:val="00DF0CA1"/>
    <w:rsid w:val="00DF528C"/>
    <w:rsid w:val="00DF5EA9"/>
    <w:rsid w:val="00E041A6"/>
    <w:rsid w:val="00E11052"/>
    <w:rsid w:val="00E31D76"/>
    <w:rsid w:val="00E3571A"/>
    <w:rsid w:val="00E43202"/>
    <w:rsid w:val="00E43D07"/>
    <w:rsid w:val="00E47996"/>
    <w:rsid w:val="00E54296"/>
    <w:rsid w:val="00E71518"/>
    <w:rsid w:val="00E72B2F"/>
    <w:rsid w:val="00E768AD"/>
    <w:rsid w:val="00E77E09"/>
    <w:rsid w:val="00E80A81"/>
    <w:rsid w:val="00E81253"/>
    <w:rsid w:val="00E94AE5"/>
    <w:rsid w:val="00EA7BEB"/>
    <w:rsid w:val="00ED5EF6"/>
    <w:rsid w:val="00EE3139"/>
    <w:rsid w:val="00EE5D4C"/>
    <w:rsid w:val="00EF71E6"/>
    <w:rsid w:val="00F22BC3"/>
    <w:rsid w:val="00F33DF7"/>
    <w:rsid w:val="00F46B65"/>
    <w:rsid w:val="00F57165"/>
    <w:rsid w:val="00F57B8C"/>
    <w:rsid w:val="00F64943"/>
    <w:rsid w:val="00F9454D"/>
    <w:rsid w:val="00FA7F33"/>
    <w:rsid w:val="00FB0A42"/>
    <w:rsid w:val="00FB5B5D"/>
    <w:rsid w:val="00FB67F8"/>
    <w:rsid w:val="00FC78E9"/>
    <w:rsid w:val="00FE041C"/>
    <w:rsid w:val="00FE0A11"/>
    <w:rsid w:val="00FE53B9"/>
    <w:rsid w:val="00FE5E6F"/>
    <w:rsid w:val="00FE6CDC"/>
    <w:rsid w:val="00FF66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AB293C"/>
    <w:pPr>
      <w:spacing w:line="360" w:lineRule="auto"/>
    </w:pPr>
    <w:rPr>
      <w:rFonts w:ascii="Times New Roman" w:hAnsi="Times New Roman"/>
      <w:sz w:val="24"/>
    </w:rPr>
  </w:style>
  <w:style w:type="paragraph" w:styleId="Otsikko1">
    <w:name w:val="heading 1"/>
    <w:basedOn w:val="Normaali"/>
    <w:next w:val="Normaali"/>
    <w:link w:val="Otsikko1Char"/>
    <w:uiPriority w:val="9"/>
    <w:qFormat/>
    <w:rsid w:val="00AB293C"/>
    <w:pPr>
      <w:keepNext/>
      <w:keepLines/>
      <w:spacing w:before="480" w:after="0"/>
      <w:outlineLvl w:val="0"/>
    </w:pPr>
    <w:rPr>
      <w:rFonts w:eastAsiaTheme="majorEastAsia" w:cstheme="majorBidi"/>
      <w:b/>
      <w:bCs/>
      <w:sz w:val="28"/>
      <w:szCs w:val="28"/>
    </w:rPr>
  </w:style>
  <w:style w:type="paragraph" w:styleId="Otsikko2">
    <w:name w:val="heading 2"/>
    <w:basedOn w:val="Normaali"/>
    <w:next w:val="Normaali"/>
    <w:link w:val="Otsikko2Char"/>
    <w:uiPriority w:val="9"/>
    <w:unhideWhenUsed/>
    <w:qFormat/>
    <w:rsid w:val="00AB293C"/>
    <w:pPr>
      <w:keepNext/>
      <w:keepLines/>
      <w:spacing w:before="200" w:after="0"/>
      <w:outlineLvl w:val="1"/>
    </w:pPr>
    <w:rPr>
      <w:rFonts w:eastAsiaTheme="majorEastAsia" w:cstheme="majorBidi"/>
      <w:b/>
      <w:bCs/>
      <w:sz w:val="26"/>
      <w:szCs w:val="26"/>
    </w:rPr>
  </w:style>
  <w:style w:type="paragraph" w:styleId="Otsikko3">
    <w:name w:val="heading 3"/>
    <w:basedOn w:val="Normaali"/>
    <w:next w:val="Normaali"/>
    <w:link w:val="Otsikko3Char"/>
    <w:uiPriority w:val="9"/>
    <w:unhideWhenUsed/>
    <w:qFormat/>
    <w:rsid w:val="00A238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B293C"/>
    <w:rPr>
      <w:rFonts w:ascii="Times New Roman" w:eastAsiaTheme="majorEastAsia" w:hAnsi="Times New Roman" w:cstheme="majorBidi"/>
      <w:b/>
      <w:bCs/>
      <w:sz w:val="28"/>
      <w:szCs w:val="28"/>
    </w:rPr>
  </w:style>
  <w:style w:type="character" w:customStyle="1" w:styleId="Otsikko2Char">
    <w:name w:val="Otsikko 2 Char"/>
    <w:basedOn w:val="Kappaleenoletusfontti"/>
    <w:link w:val="Otsikko2"/>
    <w:uiPriority w:val="9"/>
    <w:rsid w:val="00AB293C"/>
    <w:rPr>
      <w:rFonts w:ascii="Times New Roman" w:eastAsiaTheme="majorEastAsia" w:hAnsi="Times New Roman" w:cstheme="majorBidi"/>
      <w:b/>
      <w:bCs/>
      <w:sz w:val="26"/>
      <w:szCs w:val="26"/>
    </w:rPr>
  </w:style>
  <w:style w:type="paragraph" w:styleId="Luettelokappale">
    <w:name w:val="List Paragraph"/>
    <w:basedOn w:val="Normaali"/>
    <w:uiPriority w:val="34"/>
    <w:qFormat/>
    <w:rsid w:val="00AB293C"/>
    <w:pPr>
      <w:ind w:left="720"/>
      <w:contextualSpacing/>
    </w:pPr>
  </w:style>
  <w:style w:type="paragraph" w:styleId="Sisllysluettelonotsikko">
    <w:name w:val="TOC Heading"/>
    <w:basedOn w:val="Otsikko1"/>
    <w:next w:val="Normaali"/>
    <w:uiPriority w:val="39"/>
    <w:semiHidden/>
    <w:unhideWhenUsed/>
    <w:qFormat/>
    <w:rsid w:val="00E3571A"/>
    <w:pPr>
      <w:spacing w:line="276" w:lineRule="auto"/>
      <w:outlineLvl w:val="9"/>
    </w:pPr>
    <w:rPr>
      <w:rFonts w:asciiTheme="majorHAnsi" w:hAnsiTheme="majorHAnsi"/>
      <w:color w:val="365F91" w:themeColor="accent1" w:themeShade="BF"/>
      <w:lang w:eastAsia="fi-FI"/>
    </w:rPr>
  </w:style>
  <w:style w:type="paragraph" w:styleId="Sisluet1">
    <w:name w:val="toc 1"/>
    <w:basedOn w:val="Normaali"/>
    <w:next w:val="Normaali"/>
    <w:autoRedefine/>
    <w:uiPriority w:val="39"/>
    <w:unhideWhenUsed/>
    <w:rsid w:val="00E3571A"/>
    <w:pPr>
      <w:spacing w:after="100"/>
    </w:pPr>
  </w:style>
  <w:style w:type="paragraph" w:styleId="Sisluet2">
    <w:name w:val="toc 2"/>
    <w:basedOn w:val="Normaali"/>
    <w:next w:val="Normaali"/>
    <w:autoRedefine/>
    <w:uiPriority w:val="39"/>
    <w:unhideWhenUsed/>
    <w:rsid w:val="00E3571A"/>
    <w:pPr>
      <w:spacing w:after="100"/>
      <w:ind w:left="240"/>
    </w:pPr>
  </w:style>
  <w:style w:type="character" w:styleId="Hyperlinkki">
    <w:name w:val="Hyperlink"/>
    <w:basedOn w:val="Kappaleenoletusfontti"/>
    <w:uiPriority w:val="99"/>
    <w:unhideWhenUsed/>
    <w:rsid w:val="00E3571A"/>
    <w:rPr>
      <w:color w:val="0000FF" w:themeColor="hyperlink"/>
      <w:u w:val="single"/>
    </w:rPr>
  </w:style>
  <w:style w:type="paragraph" w:styleId="Seliteteksti">
    <w:name w:val="Balloon Text"/>
    <w:basedOn w:val="Normaali"/>
    <w:link w:val="SelitetekstiChar"/>
    <w:uiPriority w:val="99"/>
    <w:semiHidden/>
    <w:unhideWhenUsed/>
    <w:rsid w:val="00E3571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E3571A"/>
    <w:rPr>
      <w:rFonts w:ascii="Tahoma" w:hAnsi="Tahoma" w:cs="Tahoma"/>
      <w:sz w:val="16"/>
      <w:szCs w:val="16"/>
    </w:rPr>
  </w:style>
  <w:style w:type="paragraph" w:styleId="Yltunniste">
    <w:name w:val="header"/>
    <w:basedOn w:val="Normaali"/>
    <w:link w:val="YltunnisteChar"/>
    <w:uiPriority w:val="99"/>
    <w:unhideWhenUsed/>
    <w:rsid w:val="00E3571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3571A"/>
    <w:rPr>
      <w:rFonts w:ascii="Times New Roman" w:hAnsi="Times New Roman"/>
      <w:sz w:val="24"/>
    </w:rPr>
  </w:style>
  <w:style w:type="paragraph" w:styleId="Alatunniste">
    <w:name w:val="footer"/>
    <w:basedOn w:val="Normaali"/>
    <w:link w:val="AlatunnisteChar"/>
    <w:uiPriority w:val="99"/>
    <w:unhideWhenUsed/>
    <w:rsid w:val="00E3571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3571A"/>
    <w:rPr>
      <w:rFonts w:ascii="Times New Roman" w:hAnsi="Times New Roman"/>
      <w:sz w:val="24"/>
    </w:rPr>
  </w:style>
  <w:style w:type="paragraph" w:customStyle="1" w:styleId="Kirjallisuusluettelo">
    <w:name w:val="Kirjallisuusluettelo"/>
    <w:basedOn w:val="Normaali"/>
    <w:link w:val="KirjallisuusluetteloChar"/>
    <w:qFormat/>
    <w:rsid w:val="00061C6F"/>
    <w:pPr>
      <w:spacing w:line="240" w:lineRule="auto"/>
    </w:pPr>
  </w:style>
  <w:style w:type="character" w:customStyle="1" w:styleId="KirjallisuusluetteloChar">
    <w:name w:val="Kirjallisuusluettelo Char"/>
    <w:basedOn w:val="Kappaleenoletusfontti"/>
    <w:link w:val="Kirjallisuusluettelo"/>
    <w:rsid w:val="00061C6F"/>
    <w:rPr>
      <w:rFonts w:ascii="Times New Roman" w:hAnsi="Times New Roman"/>
      <w:sz w:val="24"/>
    </w:rPr>
  </w:style>
  <w:style w:type="character" w:customStyle="1" w:styleId="Otsikko3Char">
    <w:name w:val="Otsikko 3 Char"/>
    <w:basedOn w:val="Kappaleenoletusfontti"/>
    <w:link w:val="Otsikko3"/>
    <w:uiPriority w:val="9"/>
    <w:rsid w:val="00A23879"/>
    <w:rPr>
      <w:rFonts w:asciiTheme="majorHAnsi" w:eastAsiaTheme="majorEastAsia" w:hAnsiTheme="majorHAnsi" w:cstheme="majorBidi"/>
      <w:b/>
      <w:bCs/>
      <w:color w:val="4F81BD" w:themeColor="accent1"/>
      <w:sz w:val="24"/>
    </w:rPr>
  </w:style>
  <w:style w:type="character" w:styleId="Korostus">
    <w:name w:val="Emphasis"/>
    <w:basedOn w:val="Kappaleenoletusfontti"/>
    <w:uiPriority w:val="20"/>
    <w:qFormat/>
    <w:rsid w:val="00FB67F8"/>
    <w:rPr>
      <w:i/>
      <w:iCs/>
    </w:rPr>
  </w:style>
  <w:style w:type="character" w:styleId="AvattuHyperlinkki">
    <w:name w:val="FollowedHyperlink"/>
    <w:basedOn w:val="Kappaleenoletusfontti"/>
    <w:uiPriority w:val="99"/>
    <w:semiHidden/>
    <w:unhideWhenUsed/>
    <w:rsid w:val="005F51C1"/>
    <w:rPr>
      <w:color w:val="800080" w:themeColor="followedHyperlink"/>
      <w:u w:val="single"/>
    </w:rPr>
  </w:style>
  <w:style w:type="character" w:customStyle="1" w:styleId="highlight">
    <w:name w:val="highlight"/>
    <w:basedOn w:val="Kappaleenoletusfontti"/>
    <w:rsid w:val="003552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AB293C"/>
    <w:pPr>
      <w:spacing w:line="360" w:lineRule="auto"/>
    </w:pPr>
    <w:rPr>
      <w:rFonts w:ascii="Times New Roman" w:hAnsi="Times New Roman"/>
      <w:sz w:val="24"/>
    </w:rPr>
  </w:style>
  <w:style w:type="paragraph" w:styleId="Otsikko1">
    <w:name w:val="heading 1"/>
    <w:basedOn w:val="Normaali"/>
    <w:next w:val="Normaali"/>
    <w:link w:val="Otsikko1Char"/>
    <w:uiPriority w:val="9"/>
    <w:qFormat/>
    <w:rsid w:val="00AB293C"/>
    <w:pPr>
      <w:keepNext/>
      <w:keepLines/>
      <w:spacing w:before="480" w:after="0"/>
      <w:outlineLvl w:val="0"/>
    </w:pPr>
    <w:rPr>
      <w:rFonts w:eastAsiaTheme="majorEastAsia" w:cstheme="majorBidi"/>
      <w:b/>
      <w:bCs/>
      <w:sz w:val="28"/>
      <w:szCs w:val="28"/>
    </w:rPr>
  </w:style>
  <w:style w:type="paragraph" w:styleId="Otsikko2">
    <w:name w:val="heading 2"/>
    <w:basedOn w:val="Normaali"/>
    <w:next w:val="Normaali"/>
    <w:link w:val="Otsikko2Char"/>
    <w:uiPriority w:val="9"/>
    <w:unhideWhenUsed/>
    <w:qFormat/>
    <w:rsid w:val="00AB293C"/>
    <w:pPr>
      <w:keepNext/>
      <w:keepLines/>
      <w:spacing w:before="200" w:after="0"/>
      <w:outlineLvl w:val="1"/>
    </w:pPr>
    <w:rPr>
      <w:rFonts w:eastAsiaTheme="majorEastAsia" w:cstheme="majorBidi"/>
      <w:b/>
      <w:bCs/>
      <w:sz w:val="26"/>
      <w:szCs w:val="26"/>
    </w:rPr>
  </w:style>
  <w:style w:type="paragraph" w:styleId="Otsikko3">
    <w:name w:val="heading 3"/>
    <w:basedOn w:val="Normaali"/>
    <w:next w:val="Normaali"/>
    <w:link w:val="Otsikko3Char"/>
    <w:uiPriority w:val="9"/>
    <w:unhideWhenUsed/>
    <w:qFormat/>
    <w:rsid w:val="00A238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B293C"/>
    <w:rPr>
      <w:rFonts w:ascii="Times New Roman" w:eastAsiaTheme="majorEastAsia" w:hAnsi="Times New Roman" w:cstheme="majorBidi"/>
      <w:b/>
      <w:bCs/>
      <w:sz w:val="28"/>
      <w:szCs w:val="28"/>
    </w:rPr>
  </w:style>
  <w:style w:type="character" w:customStyle="1" w:styleId="Otsikko2Char">
    <w:name w:val="Otsikko 2 Char"/>
    <w:basedOn w:val="Kappaleenoletusfontti"/>
    <w:link w:val="Otsikko2"/>
    <w:uiPriority w:val="9"/>
    <w:rsid w:val="00AB293C"/>
    <w:rPr>
      <w:rFonts w:ascii="Times New Roman" w:eastAsiaTheme="majorEastAsia" w:hAnsi="Times New Roman" w:cstheme="majorBidi"/>
      <w:b/>
      <w:bCs/>
      <w:sz w:val="26"/>
      <w:szCs w:val="26"/>
    </w:rPr>
  </w:style>
  <w:style w:type="paragraph" w:styleId="Luettelokappale">
    <w:name w:val="List Paragraph"/>
    <w:basedOn w:val="Normaali"/>
    <w:uiPriority w:val="34"/>
    <w:qFormat/>
    <w:rsid w:val="00AB293C"/>
    <w:pPr>
      <w:ind w:left="720"/>
      <w:contextualSpacing/>
    </w:pPr>
  </w:style>
  <w:style w:type="paragraph" w:styleId="Sisllysluettelonotsikko">
    <w:name w:val="TOC Heading"/>
    <w:basedOn w:val="Otsikko1"/>
    <w:next w:val="Normaali"/>
    <w:uiPriority w:val="39"/>
    <w:semiHidden/>
    <w:unhideWhenUsed/>
    <w:qFormat/>
    <w:rsid w:val="00E3571A"/>
    <w:pPr>
      <w:spacing w:line="276" w:lineRule="auto"/>
      <w:outlineLvl w:val="9"/>
    </w:pPr>
    <w:rPr>
      <w:rFonts w:asciiTheme="majorHAnsi" w:hAnsiTheme="majorHAnsi"/>
      <w:color w:val="365F91" w:themeColor="accent1" w:themeShade="BF"/>
      <w:lang w:eastAsia="fi-FI"/>
    </w:rPr>
  </w:style>
  <w:style w:type="paragraph" w:styleId="Sisluet1">
    <w:name w:val="toc 1"/>
    <w:basedOn w:val="Normaali"/>
    <w:next w:val="Normaali"/>
    <w:autoRedefine/>
    <w:uiPriority w:val="39"/>
    <w:unhideWhenUsed/>
    <w:rsid w:val="00E3571A"/>
    <w:pPr>
      <w:spacing w:after="100"/>
    </w:pPr>
  </w:style>
  <w:style w:type="paragraph" w:styleId="Sisluet2">
    <w:name w:val="toc 2"/>
    <w:basedOn w:val="Normaali"/>
    <w:next w:val="Normaali"/>
    <w:autoRedefine/>
    <w:uiPriority w:val="39"/>
    <w:unhideWhenUsed/>
    <w:rsid w:val="00E3571A"/>
    <w:pPr>
      <w:spacing w:after="100"/>
      <w:ind w:left="240"/>
    </w:pPr>
  </w:style>
  <w:style w:type="character" w:styleId="Hyperlinkki">
    <w:name w:val="Hyperlink"/>
    <w:basedOn w:val="Kappaleenoletusfontti"/>
    <w:uiPriority w:val="99"/>
    <w:unhideWhenUsed/>
    <w:rsid w:val="00E3571A"/>
    <w:rPr>
      <w:color w:val="0000FF" w:themeColor="hyperlink"/>
      <w:u w:val="single"/>
    </w:rPr>
  </w:style>
  <w:style w:type="paragraph" w:styleId="Seliteteksti">
    <w:name w:val="Balloon Text"/>
    <w:basedOn w:val="Normaali"/>
    <w:link w:val="SelitetekstiChar"/>
    <w:uiPriority w:val="99"/>
    <w:semiHidden/>
    <w:unhideWhenUsed/>
    <w:rsid w:val="00E3571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E3571A"/>
    <w:rPr>
      <w:rFonts w:ascii="Tahoma" w:hAnsi="Tahoma" w:cs="Tahoma"/>
      <w:sz w:val="16"/>
      <w:szCs w:val="16"/>
    </w:rPr>
  </w:style>
  <w:style w:type="paragraph" w:styleId="Yltunniste">
    <w:name w:val="header"/>
    <w:basedOn w:val="Normaali"/>
    <w:link w:val="YltunnisteChar"/>
    <w:uiPriority w:val="99"/>
    <w:unhideWhenUsed/>
    <w:rsid w:val="00E3571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3571A"/>
    <w:rPr>
      <w:rFonts w:ascii="Times New Roman" w:hAnsi="Times New Roman"/>
      <w:sz w:val="24"/>
    </w:rPr>
  </w:style>
  <w:style w:type="paragraph" w:styleId="Alatunniste">
    <w:name w:val="footer"/>
    <w:basedOn w:val="Normaali"/>
    <w:link w:val="AlatunnisteChar"/>
    <w:uiPriority w:val="99"/>
    <w:unhideWhenUsed/>
    <w:rsid w:val="00E3571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3571A"/>
    <w:rPr>
      <w:rFonts w:ascii="Times New Roman" w:hAnsi="Times New Roman"/>
      <w:sz w:val="24"/>
    </w:rPr>
  </w:style>
  <w:style w:type="paragraph" w:customStyle="1" w:styleId="Kirjallisuusluettelo">
    <w:name w:val="Kirjallisuusluettelo"/>
    <w:basedOn w:val="Normaali"/>
    <w:link w:val="KirjallisuusluetteloChar"/>
    <w:qFormat/>
    <w:rsid w:val="00061C6F"/>
    <w:pPr>
      <w:spacing w:line="240" w:lineRule="auto"/>
    </w:pPr>
  </w:style>
  <w:style w:type="character" w:customStyle="1" w:styleId="KirjallisuusluetteloChar">
    <w:name w:val="Kirjallisuusluettelo Char"/>
    <w:basedOn w:val="Kappaleenoletusfontti"/>
    <w:link w:val="Kirjallisuusluettelo"/>
    <w:rsid w:val="00061C6F"/>
    <w:rPr>
      <w:rFonts w:ascii="Times New Roman" w:hAnsi="Times New Roman"/>
      <w:sz w:val="24"/>
    </w:rPr>
  </w:style>
  <w:style w:type="character" w:customStyle="1" w:styleId="Otsikko3Char">
    <w:name w:val="Otsikko 3 Char"/>
    <w:basedOn w:val="Kappaleenoletusfontti"/>
    <w:link w:val="Otsikko3"/>
    <w:uiPriority w:val="9"/>
    <w:rsid w:val="00A23879"/>
    <w:rPr>
      <w:rFonts w:asciiTheme="majorHAnsi" w:eastAsiaTheme="majorEastAsia" w:hAnsiTheme="majorHAnsi" w:cstheme="majorBidi"/>
      <w:b/>
      <w:bCs/>
      <w:color w:val="4F81BD" w:themeColor="accent1"/>
      <w:sz w:val="24"/>
    </w:rPr>
  </w:style>
  <w:style w:type="character" w:styleId="Korostus">
    <w:name w:val="Emphasis"/>
    <w:basedOn w:val="Kappaleenoletusfontti"/>
    <w:uiPriority w:val="20"/>
    <w:qFormat/>
    <w:rsid w:val="00FB67F8"/>
    <w:rPr>
      <w:i/>
      <w:iCs/>
    </w:rPr>
  </w:style>
  <w:style w:type="character" w:styleId="AvattuHyperlinkki">
    <w:name w:val="FollowedHyperlink"/>
    <w:basedOn w:val="Kappaleenoletusfontti"/>
    <w:uiPriority w:val="99"/>
    <w:semiHidden/>
    <w:unhideWhenUsed/>
    <w:rsid w:val="005F51C1"/>
    <w:rPr>
      <w:color w:val="800080" w:themeColor="followedHyperlink"/>
      <w:u w:val="single"/>
    </w:rPr>
  </w:style>
  <w:style w:type="character" w:customStyle="1" w:styleId="highlight">
    <w:name w:val="highlight"/>
    <w:basedOn w:val="Kappaleenoletusfontti"/>
    <w:rsid w:val="00355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227625">
      <w:bodyDiv w:val="1"/>
      <w:marLeft w:val="0"/>
      <w:marRight w:val="0"/>
      <w:marTop w:val="0"/>
      <w:marBottom w:val="0"/>
      <w:divBdr>
        <w:top w:val="none" w:sz="0" w:space="0" w:color="auto"/>
        <w:left w:val="none" w:sz="0" w:space="0" w:color="auto"/>
        <w:bottom w:val="none" w:sz="0" w:space="0" w:color="auto"/>
        <w:right w:val="none" w:sz="0" w:space="0" w:color="auto"/>
      </w:divBdr>
    </w:div>
    <w:div w:id="491602223">
      <w:bodyDiv w:val="1"/>
      <w:marLeft w:val="0"/>
      <w:marRight w:val="0"/>
      <w:marTop w:val="0"/>
      <w:marBottom w:val="0"/>
      <w:divBdr>
        <w:top w:val="none" w:sz="0" w:space="0" w:color="auto"/>
        <w:left w:val="none" w:sz="0" w:space="0" w:color="auto"/>
        <w:bottom w:val="none" w:sz="0" w:space="0" w:color="auto"/>
        <w:right w:val="none" w:sz="0" w:space="0" w:color="auto"/>
      </w:divBdr>
    </w:div>
    <w:div w:id="498932451">
      <w:bodyDiv w:val="1"/>
      <w:marLeft w:val="0"/>
      <w:marRight w:val="0"/>
      <w:marTop w:val="0"/>
      <w:marBottom w:val="0"/>
      <w:divBdr>
        <w:top w:val="none" w:sz="0" w:space="0" w:color="auto"/>
        <w:left w:val="none" w:sz="0" w:space="0" w:color="auto"/>
        <w:bottom w:val="none" w:sz="0" w:space="0" w:color="auto"/>
        <w:right w:val="none" w:sz="0" w:space="0" w:color="auto"/>
      </w:divBdr>
    </w:div>
    <w:div w:id="1170831867">
      <w:bodyDiv w:val="1"/>
      <w:marLeft w:val="0"/>
      <w:marRight w:val="0"/>
      <w:marTop w:val="0"/>
      <w:marBottom w:val="0"/>
      <w:divBdr>
        <w:top w:val="none" w:sz="0" w:space="0" w:color="auto"/>
        <w:left w:val="none" w:sz="0" w:space="0" w:color="auto"/>
        <w:bottom w:val="none" w:sz="0" w:space="0" w:color="auto"/>
        <w:right w:val="none" w:sz="0" w:space="0" w:color="auto"/>
      </w:divBdr>
    </w:div>
    <w:div w:id="1567036218">
      <w:bodyDiv w:val="1"/>
      <w:marLeft w:val="0"/>
      <w:marRight w:val="0"/>
      <w:marTop w:val="0"/>
      <w:marBottom w:val="0"/>
      <w:divBdr>
        <w:top w:val="none" w:sz="0" w:space="0" w:color="auto"/>
        <w:left w:val="none" w:sz="0" w:space="0" w:color="auto"/>
        <w:bottom w:val="none" w:sz="0" w:space="0" w:color="auto"/>
        <w:right w:val="none" w:sz="0" w:space="0" w:color="auto"/>
      </w:divBdr>
    </w:div>
    <w:div w:id="203091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ekk\Desktop\ammatillisen%20erityisopetuksen%20opiskelijam&#228;&#228;r&#228;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ekk\Desktop\ammatillisen%20erityisopetuksen%20opiskelijam&#228;&#228;r&#228;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1"/>
    <c:plotArea>
      <c:layout/>
      <c:barChart>
        <c:barDir val="col"/>
        <c:grouping val="clustered"/>
        <c:varyColors val="0"/>
        <c:ser>
          <c:idx val="0"/>
          <c:order val="0"/>
          <c:tx>
            <c:strRef>
              <c:f>Taul1!$A$2:$E$2</c:f>
              <c:strCache>
                <c:ptCount val="1"/>
                <c:pt idx="0">
                  <c:v>Kaikki ammatillisen erityisopetuksen opiskelijat</c:v>
                </c:pt>
              </c:strCache>
            </c:strRef>
          </c:tx>
          <c:invertIfNegative val="0"/>
          <c:cat>
            <c:numRef>
              <c:f>Taul1!$F$1:$L$1</c:f>
              <c:numCache>
                <c:formatCode>General</c:formatCode>
                <c:ptCount val="7"/>
                <c:pt idx="0">
                  <c:v>2010</c:v>
                </c:pt>
                <c:pt idx="1">
                  <c:v>2011</c:v>
                </c:pt>
                <c:pt idx="2">
                  <c:v>2012</c:v>
                </c:pt>
                <c:pt idx="3">
                  <c:v>2013</c:v>
                </c:pt>
                <c:pt idx="4">
                  <c:v>2014</c:v>
                </c:pt>
                <c:pt idx="5">
                  <c:v>2015</c:v>
                </c:pt>
                <c:pt idx="6">
                  <c:v>2016</c:v>
                </c:pt>
              </c:numCache>
            </c:numRef>
          </c:cat>
          <c:val>
            <c:numRef>
              <c:f>Taul1!$F$2:$L$2</c:f>
              <c:numCache>
                <c:formatCode>General</c:formatCode>
                <c:ptCount val="7"/>
                <c:pt idx="0">
                  <c:v>16816</c:v>
                </c:pt>
                <c:pt idx="1">
                  <c:v>17484</c:v>
                </c:pt>
                <c:pt idx="2">
                  <c:v>18498</c:v>
                </c:pt>
                <c:pt idx="3">
                  <c:v>18901</c:v>
                </c:pt>
                <c:pt idx="4">
                  <c:v>20870</c:v>
                </c:pt>
                <c:pt idx="5">
                  <c:v>21149</c:v>
                </c:pt>
                <c:pt idx="6">
                  <c:v>22161</c:v>
                </c:pt>
              </c:numCache>
            </c:numRef>
          </c:val>
        </c:ser>
        <c:ser>
          <c:idx val="1"/>
          <c:order val="1"/>
          <c:tx>
            <c:strRef>
              <c:f>Taul1!$A$3:$E$3</c:f>
              <c:strCache>
                <c:ptCount val="1"/>
                <c:pt idx="0">
                  <c:v>Erityisoppilaitosten opiskelijat</c:v>
                </c:pt>
              </c:strCache>
            </c:strRef>
          </c:tx>
          <c:invertIfNegative val="0"/>
          <c:cat>
            <c:numRef>
              <c:f>Taul1!$F$1:$L$1</c:f>
              <c:numCache>
                <c:formatCode>General</c:formatCode>
                <c:ptCount val="7"/>
                <c:pt idx="0">
                  <c:v>2010</c:v>
                </c:pt>
                <c:pt idx="1">
                  <c:v>2011</c:v>
                </c:pt>
                <c:pt idx="2">
                  <c:v>2012</c:v>
                </c:pt>
                <c:pt idx="3">
                  <c:v>2013</c:v>
                </c:pt>
                <c:pt idx="4">
                  <c:v>2014</c:v>
                </c:pt>
                <c:pt idx="5">
                  <c:v>2015</c:v>
                </c:pt>
                <c:pt idx="6">
                  <c:v>2016</c:v>
                </c:pt>
              </c:numCache>
            </c:numRef>
          </c:cat>
          <c:val>
            <c:numRef>
              <c:f>Taul1!$F$3:$L$3</c:f>
              <c:numCache>
                <c:formatCode>General</c:formatCode>
                <c:ptCount val="7"/>
                <c:pt idx="0">
                  <c:v>2497</c:v>
                </c:pt>
                <c:pt idx="1">
                  <c:v>2579</c:v>
                </c:pt>
                <c:pt idx="2">
                  <c:v>2678</c:v>
                </c:pt>
                <c:pt idx="3">
                  <c:v>2873</c:v>
                </c:pt>
                <c:pt idx="4">
                  <c:v>2776</c:v>
                </c:pt>
                <c:pt idx="5">
                  <c:v>3196</c:v>
                </c:pt>
                <c:pt idx="6">
                  <c:v>3284</c:v>
                </c:pt>
              </c:numCache>
            </c:numRef>
          </c:val>
        </c:ser>
        <c:dLbls>
          <c:showLegendKey val="0"/>
          <c:showVal val="0"/>
          <c:showCatName val="0"/>
          <c:showSerName val="0"/>
          <c:showPercent val="0"/>
          <c:showBubbleSize val="0"/>
        </c:dLbls>
        <c:gapWidth val="150"/>
        <c:axId val="226095104"/>
        <c:axId val="226096640"/>
      </c:barChart>
      <c:catAx>
        <c:axId val="226095104"/>
        <c:scaling>
          <c:orientation val="minMax"/>
        </c:scaling>
        <c:delete val="0"/>
        <c:axPos val="b"/>
        <c:numFmt formatCode="General" sourceLinked="1"/>
        <c:majorTickMark val="none"/>
        <c:minorTickMark val="none"/>
        <c:tickLblPos val="nextTo"/>
        <c:crossAx val="226096640"/>
        <c:crosses val="autoZero"/>
        <c:auto val="1"/>
        <c:lblAlgn val="ctr"/>
        <c:lblOffset val="100"/>
        <c:noMultiLvlLbl val="0"/>
      </c:catAx>
      <c:valAx>
        <c:axId val="226096640"/>
        <c:scaling>
          <c:orientation val="minMax"/>
        </c:scaling>
        <c:delete val="0"/>
        <c:axPos val="l"/>
        <c:majorGridlines/>
        <c:numFmt formatCode="General" sourceLinked="1"/>
        <c:majorTickMark val="none"/>
        <c:minorTickMark val="none"/>
        <c:tickLblPos val="nextTo"/>
        <c:crossAx val="22609510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0"/>
    <c:plotArea>
      <c:layout/>
      <c:barChart>
        <c:barDir val="col"/>
        <c:grouping val="clustered"/>
        <c:varyColors val="0"/>
        <c:ser>
          <c:idx val="0"/>
          <c:order val="0"/>
          <c:tx>
            <c:strRef>
              <c:f>Taul1!$A$23:$I$23</c:f>
              <c:strCache>
                <c:ptCount val="1"/>
                <c:pt idx="0">
                  <c:v>Ammatilliseen peruskoulutukseen valmentava koulutus (VALMA)</c:v>
                </c:pt>
              </c:strCache>
            </c:strRef>
          </c:tx>
          <c:invertIfNegative val="0"/>
          <c:cat>
            <c:numRef>
              <c:f>Taul1!$J$22:$M$22</c:f>
              <c:numCache>
                <c:formatCode>General</c:formatCode>
                <c:ptCount val="4"/>
                <c:pt idx="0">
                  <c:v>2015</c:v>
                </c:pt>
                <c:pt idx="1">
                  <c:v>2016</c:v>
                </c:pt>
                <c:pt idx="2">
                  <c:v>2017</c:v>
                </c:pt>
                <c:pt idx="3">
                  <c:v>2018</c:v>
                </c:pt>
              </c:numCache>
            </c:numRef>
          </c:cat>
          <c:val>
            <c:numRef>
              <c:f>Taul1!$J$23:$M$23</c:f>
              <c:numCache>
                <c:formatCode>General</c:formatCode>
                <c:ptCount val="4"/>
                <c:pt idx="0">
                  <c:v>2386</c:v>
                </c:pt>
                <c:pt idx="1">
                  <c:v>2137</c:v>
                </c:pt>
                <c:pt idx="2">
                  <c:v>2111</c:v>
                </c:pt>
                <c:pt idx="3">
                  <c:v>1472</c:v>
                </c:pt>
              </c:numCache>
            </c:numRef>
          </c:val>
        </c:ser>
        <c:ser>
          <c:idx val="1"/>
          <c:order val="1"/>
          <c:tx>
            <c:strRef>
              <c:f>Taul1!$A$24:$I$24</c:f>
              <c:strCache>
                <c:ptCount val="1"/>
                <c:pt idx="0">
                  <c:v>Ammatilliseen peruskoulutukseen valmentava koulutus (VALMA) erityisopetuksena</c:v>
                </c:pt>
              </c:strCache>
            </c:strRef>
          </c:tx>
          <c:invertIfNegative val="0"/>
          <c:cat>
            <c:numRef>
              <c:f>Taul1!$J$22:$M$22</c:f>
              <c:numCache>
                <c:formatCode>General</c:formatCode>
                <c:ptCount val="4"/>
                <c:pt idx="0">
                  <c:v>2015</c:v>
                </c:pt>
                <c:pt idx="1">
                  <c:v>2016</c:v>
                </c:pt>
                <c:pt idx="2">
                  <c:v>2017</c:v>
                </c:pt>
                <c:pt idx="3">
                  <c:v>2018</c:v>
                </c:pt>
              </c:numCache>
            </c:numRef>
          </c:cat>
          <c:val>
            <c:numRef>
              <c:f>Taul1!$J$24:$M$24</c:f>
              <c:numCache>
                <c:formatCode>General</c:formatCode>
                <c:ptCount val="4"/>
                <c:pt idx="0">
                  <c:v>586</c:v>
                </c:pt>
                <c:pt idx="1">
                  <c:v>546</c:v>
                </c:pt>
                <c:pt idx="2">
                  <c:v>466</c:v>
                </c:pt>
                <c:pt idx="3">
                  <c:v>538</c:v>
                </c:pt>
              </c:numCache>
            </c:numRef>
          </c:val>
        </c:ser>
        <c:ser>
          <c:idx val="2"/>
          <c:order val="2"/>
          <c:tx>
            <c:strRef>
              <c:f>Taul1!$A$25:$I$25</c:f>
              <c:strCache>
                <c:ptCount val="1"/>
                <c:pt idx="0">
                  <c:v>Työhön ja itsenäiseen elämään valmentava koulutus (TELMA)</c:v>
                </c:pt>
              </c:strCache>
            </c:strRef>
          </c:tx>
          <c:invertIfNegative val="0"/>
          <c:cat>
            <c:numRef>
              <c:f>Taul1!$J$22:$M$22</c:f>
              <c:numCache>
                <c:formatCode>General</c:formatCode>
                <c:ptCount val="4"/>
                <c:pt idx="0">
                  <c:v>2015</c:v>
                </c:pt>
                <c:pt idx="1">
                  <c:v>2016</c:v>
                </c:pt>
                <c:pt idx="2">
                  <c:v>2017</c:v>
                </c:pt>
                <c:pt idx="3">
                  <c:v>2018</c:v>
                </c:pt>
              </c:numCache>
            </c:numRef>
          </c:cat>
          <c:val>
            <c:numRef>
              <c:f>Taul1!$J$25:$M$25</c:f>
              <c:numCache>
                <c:formatCode>General</c:formatCode>
                <c:ptCount val="4"/>
                <c:pt idx="0">
                  <c:v>390</c:v>
                </c:pt>
                <c:pt idx="1">
                  <c:v>367</c:v>
                </c:pt>
                <c:pt idx="2">
                  <c:v>341</c:v>
                </c:pt>
                <c:pt idx="3">
                  <c:v>422</c:v>
                </c:pt>
              </c:numCache>
            </c:numRef>
          </c:val>
        </c:ser>
        <c:dLbls>
          <c:showLegendKey val="0"/>
          <c:showVal val="0"/>
          <c:showCatName val="0"/>
          <c:showSerName val="0"/>
          <c:showPercent val="0"/>
          <c:showBubbleSize val="0"/>
        </c:dLbls>
        <c:gapWidth val="150"/>
        <c:axId val="245967488"/>
        <c:axId val="245969280"/>
      </c:barChart>
      <c:catAx>
        <c:axId val="245967488"/>
        <c:scaling>
          <c:orientation val="minMax"/>
        </c:scaling>
        <c:delete val="0"/>
        <c:axPos val="b"/>
        <c:numFmt formatCode="General" sourceLinked="1"/>
        <c:majorTickMark val="out"/>
        <c:minorTickMark val="none"/>
        <c:tickLblPos val="nextTo"/>
        <c:crossAx val="245969280"/>
        <c:crosses val="autoZero"/>
        <c:auto val="1"/>
        <c:lblAlgn val="ctr"/>
        <c:lblOffset val="100"/>
        <c:noMultiLvlLbl val="0"/>
      </c:catAx>
      <c:valAx>
        <c:axId val="245969280"/>
        <c:scaling>
          <c:orientation val="minMax"/>
        </c:scaling>
        <c:delete val="0"/>
        <c:axPos val="l"/>
        <c:majorGridlines/>
        <c:numFmt formatCode="General" sourceLinked="1"/>
        <c:majorTickMark val="out"/>
        <c:minorTickMark val="none"/>
        <c:tickLblPos val="nextTo"/>
        <c:crossAx val="2459674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95864-86EC-41F1-958B-79C4551F3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3990</Words>
  <Characters>32324</Characters>
  <Application>Microsoft Office Word</Application>
  <DocSecurity>0</DocSecurity>
  <Lines>269</Lines>
  <Paragraphs>72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Pekka Koskinen</dc:creator>
  <cp:lastModifiedBy>Antti Teittinen</cp:lastModifiedBy>
  <cp:revision>2</cp:revision>
  <dcterms:created xsi:type="dcterms:W3CDTF">2019-11-13T09:33:00Z</dcterms:created>
  <dcterms:modified xsi:type="dcterms:W3CDTF">2019-11-13T09:33:00Z</dcterms:modified>
</cp:coreProperties>
</file>